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7AA" w:rsidDel="002E02EE" w:rsidRDefault="009817AA" w:rsidP="001B4AEE">
      <w:pPr>
        <w:jc w:val="cente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2354"/>
        <w:gridCol w:w="2027"/>
        <w:gridCol w:w="4905"/>
      </w:tblGrid>
      <w:tr w:rsidR="00FB7B51" w:rsidRPr="006C42BF" w:rsidTr="00FB7B51">
        <w:trPr>
          <w:jc w:val="center"/>
        </w:trPr>
        <w:tc>
          <w:tcPr>
            <w:tcW w:w="2684" w:type="dxa"/>
            <w:vAlign w:val="center"/>
          </w:tcPr>
          <w:p w:rsidR="009817AA" w:rsidRPr="006C42BF" w:rsidRDefault="00AC4F7A" w:rsidP="001B4AEE">
            <w:pPr>
              <w:autoSpaceDE w:val="0"/>
              <w:autoSpaceDN w:val="0"/>
              <w:adjustRightInd w:val="0"/>
              <w:jc w:val="center"/>
              <w:rPr>
                <w:b/>
                <w:sz w:val="28"/>
                <w:szCs w:val="28"/>
                <w:highlight w:val="yellow"/>
              </w:rPr>
            </w:pPr>
            <w:r>
              <w:rPr>
                <w:noProof/>
                <w:lang w:eastAsia="fr-FR"/>
              </w:rPr>
              <w:drawing>
                <wp:inline distT="0" distB="0" distL="0" distR="0">
                  <wp:extent cx="1379030" cy="933831"/>
                  <wp:effectExtent l="19050" t="0" r="0" b="0"/>
                  <wp:docPr id="1" name="Image 1" descr="Logo_C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HU"/>
                          <pic:cNvPicPr>
                            <a:picLocks noChangeAspect="1" noChangeArrowheads="1"/>
                          </pic:cNvPicPr>
                        </pic:nvPicPr>
                        <pic:blipFill>
                          <a:blip r:embed="rId8" cstate="print"/>
                          <a:srcRect/>
                          <a:stretch>
                            <a:fillRect/>
                          </a:stretch>
                        </pic:blipFill>
                        <pic:spPr bwMode="auto">
                          <a:xfrm>
                            <a:off x="0" y="0"/>
                            <a:ext cx="1379030" cy="933831"/>
                          </a:xfrm>
                          <a:prstGeom prst="rect">
                            <a:avLst/>
                          </a:prstGeom>
                          <a:noFill/>
                          <a:ln w="9525">
                            <a:noFill/>
                            <a:miter lim="800000"/>
                            <a:headEnd/>
                            <a:tailEnd/>
                          </a:ln>
                        </pic:spPr>
                      </pic:pic>
                    </a:graphicData>
                  </a:graphic>
                </wp:inline>
              </w:drawing>
            </w:r>
          </w:p>
        </w:tc>
        <w:tc>
          <w:tcPr>
            <w:tcW w:w="2936" w:type="dxa"/>
            <w:vAlign w:val="center"/>
          </w:tcPr>
          <w:p w:rsidR="009817AA" w:rsidRPr="006C42BF" w:rsidRDefault="00FB7B51" w:rsidP="001B4AEE">
            <w:pPr>
              <w:autoSpaceDE w:val="0"/>
              <w:autoSpaceDN w:val="0"/>
              <w:adjustRightInd w:val="0"/>
              <w:jc w:val="center"/>
              <w:rPr>
                <w:b/>
                <w:sz w:val="28"/>
                <w:szCs w:val="28"/>
                <w:highlight w:val="yellow"/>
              </w:rPr>
            </w:pPr>
            <w:r>
              <w:rPr>
                <w:noProof/>
                <w:lang w:eastAsia="fr-FR"/>
              </w:rPr>
              <w:drawing>
                <wp:inline distT="0" distB="0" distL="0" distR="0">
                  <wp:extent cx="1164946" cy="685800"/>
                  <wp:effectExtent l="19050" t="0" r="0" b="0"/>
                  <wp:docPr id="4" name="Image 1" descr="Y:\CLIENTS\IHU\CPs\4000ème greff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LIENTS\IHU\CPs\4000ème greffe\logo.jpg"/>
                          <pic:cNvPicPr>
                            <a:picLocks noChangeAspect="1" noChangeArrowheads="1"/>
                          </pic:cNvPicPr>
                        </pic:nvPicPr>
                        <pic:blipFill>
                          <a:blip r:embed="rId9" cstate="print"/>
                          <a:srcRect/>
                          <a:stretch>
                            <a:fillRect/>
                          </a:stretch>
                        </pic:blipFill>
                        <pic:spPr bwMode="auto">
                          <a:xfrm>
                            <a:off x="0" y="0"/>
                            <a:ext cx="1164946" cy="685800"/>
                          </a:xfrm>
                          <a:prstGeom prst="rect">
                            <a:avLst/>
                          </a:prstGeom>
                          <a:noFill/>
                          <a:ln w="9525">
                            <a:noFill/>
                            <a:miter lim="800000"/>
                            <a:headEnd/>
                            <a:tailEnd/>
                          </a:ln>
                        </pic:spPr>
                      </pic:pic>
                    </a:graphicData>
                  </a:graphic>
                </wp:inline>
              </w:drawing>
            </w:r>
          </w:p>
        </w:tc>
        <w:tc>
          <w:tcPr>
            <w:tcW w:w="3666" w:type="dxa"/>
            <w:vAlign w:val="center"/>
          </w:tcPr>
          <w:p w:rsidR="009817AA" w:rsidRPr="006C42BF" w:rsidRDefault="00FB7B51" w:rsidP="001B4AEE">
            <w:pPr>
              <w:autoSpaceDE w:val="0"/>
              <w:autoSpaceDN w:val="0"/>
              <w:adjustRightInd w:val="0"/>
              <w:jc w:val="center"/>
              <w:rPr>
                <w:b/>
                <w:sz w:val="28"/>
                <w:szCs w:val="28"/>
                <w:highlight w:val="yellow"/>
              </w:rPr>
            </w:pPr>
            <w:r>
              <w:rPr>
                <w:noProof/>
                <w:lang w:eastAsia="fr-FR"/>
              </w:rPr>
              <w:drawing>
                <wp:inline distT="0" distB="0" distL="0" distR="0">
                  <wp:extent cx="3038951" cy="758666"/>
                  <wp:effectExtent l="19050" t="0" r="9049" b="0"/>
                  <wp:docPr id="5" name="Image 2" descr="Y:\CLIENTS\IHU\CPs\4000ème greffe\LogoGener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CLIENTS\IHU\CPs\4000ème greffe\LogoGenerique.jpg"/>
                          <pic:cNvPicPr>
                            <a:picLocks noChangeAspect="1" noChangeArrowheads="1"/>
                          </pic:cNvPicPr>
                        </pic:nvPicPr>
                        <pic:blipFill>
                          <a:blip r:embed="rId10" cstate="print"/>
                          <a:srcRect/>
                          <a:stretch>
                            <a:fillRect/>
                          </a:stretch>
                        </pic:blipFill>
                        <pic:spPr bwMode="auto">
                          <a:xfrm>
                            <a:off x="0" y="0"/>
                            <a:ext cx="3038951" cy="758666"/>
                          </a:xfrm>
                          <a:prstGeom prst="rect">
                            <a:avLst/>
                          </a:prstGeom>
                          <a:noFill/>
                          <a:ln w="9525">
                            <a:noFill/>
                            <a:miter lim="800000"/>
                            <a:headEnd/>
                            <a:tailEnd/>
                          </a:ln>
                        </pic:spPr>
                      </pic:pic>
                    </a:graphicData>
                  </a:graphic>
                </wp:inline>
              </w:drawing>
            </w:r>
          </w:p>
        </w:tc>
      </w:tr>
    </w:tbl>
    <w:p w:rsidR="001B4AEE" w:rsidRDefault="001B4AEE" w:rsidP="001B4AEE">
      <w:pPr>
        <w:rPr>
          <w:b/>
          <w:i/>
        </w:rPr>
      </w:pPr>
    </w:p>
    <w:p w:rsidR="000D38DD" w:rsidRPr="00615E0D" w:rsidRDefault="004B2D04" w:rsidP="001B4AEE">
      <w:pPr>
        <w:rPr>
          <w:b/>
          <w:i/>
        </w:rPr>
      </w:pPr>
      <w:r w:rsidRPr="00615E0D">
        <w:rPr>
          <w:b/>
          <w:i/>
        </w:rPr>
        <w:t>Communiqué de presse</w:t>
      </w:r>
    </w:p>
    <w:p w:rsidR="004B2D04" w:rsidRDefault="004B2D04" w:rsidP="001B4AEE"/>
    <w:p w:rsidR="001C246F" w:rsidRPr="001169C3" w:rsidRDefault="004B2D04" w:rsidP="001B4AEE">
      <w:pPr>
        <w:jc w:val="center"/>
        <w:rPr>
          <w:b/>
          <w:bCs/>
        </w:rPr>
      </w:pPr>
      <w:r w:rsidRPr="001169C3">
        <w:rPr>
          <w:b/>
          <w:bCs/>
        </w:rPr>
        <w:t>Le Centre Hospitalier Universitaire (CHU) de Nantes</w:t>
      </w:r>
      <w:r w:rsidR="00BD4514">
        <w:rPr>
          <w:b/>
          <w:bCs/>
        </w:rPr>
        <w:t xml:space="preserve"> </w:t>
      </w:r>
      <w:r w:rsidR="001C246F" w:rsidRPr="001169C3">
        <w:rPr>
          <w:b/>
          <w:bCs/>
        </w:rPr>
        <w:t xml:space="preserve">et </w:t>
      </w:r>
      <w:r w:rsidR="001C246F" w:rsidRPr="001169C3">
        <w:rPr>
          <w:b/>
        </w:rPr>
        <w:t>l’Institut de Transplantation, d’Urologie et de Néphrologie</w:t>
      </w:r>
      <w:r w:rsidR="001C246F" w:rsidRPr="001169C3">
        <w:rPr>
          <w:b/>
          <w:bCs/>
        </w:rPr>
        <w:t xml:space="preserve"> (</w:t>
      </w:r>
      <w:r w:rsidR="001C1AF6" w:rsidRPr="001169C3">
        <w:rPr>
          <w:b/>
          <w:bCs/>
        </w:rPr>
        <w:t>ITUN</w:t>
      </w:r>
      <w:r w:rsidR="001C246F" w:rsidRPr="001169C3">
        <w:rPr>
          <w:b/>
          <w:bCs/>
        </w:rPr>
        <w:t xml:space="preserve">) </w:t>
      </w:r>
      <w:r w:rsidRPr="001169C3">
        <w:rPr>
          <w:b/>
          <w:bCs/>
        </w:rPr>
        <w:t>annonce</w:t>
      </w:r>
      <w:r w:rsidR="001B0ADB" w:rsidRPr="001169C3">
        <w:rPr>
          <w:b/>
          <w:bCs/>
        </w:rPr>
        <w:t>nt</w:t>
      </w:r>
      <w:r w:rsidRPr="001169C3">
        <w:rPr>
          <w:b/>
          <w:bCs/>
        </w:rPr>
        <w:t xml:space="preserve"> </w:t>
      </w:r>
      <w:r w:rsidR="001C246F" w:rsidRPr="001169C3">
        <w:rPr>
          <w:b/>
          <w:bCs/>
        </w:rPr>
        <w:t>leur</w:t>
      </w:r>
      <w:r w:rsidRPr="001169C3">
        <w:rPr>
          <w:b/>
          <w:bCs/>
        </w:rPr>
        <w:t xml:space="preserve"> 4000</w:t>
      </w:r>
      <w:r w:rsidRPr="001169C3">
        <w:rPr>
          <w:b/>
          <w:bCs/>
          <w:vertAlign w:val="superscript"/>
        </w:rPr>
        <w:t>ème</w:t>
      </w:r>
      <w:r w:rsidRPr="001169C3">
        <w:rPr>
          <w:b/>
          <w:bCs/>
        </w:rPr>
        <w:t xml:space="preserve"> gref</w:t>
      </w:r>
      <w:r w:rsidR="00101468" w:rsidRPr="001169C3">
        <w:rPr>
          <w:b/>
          <w:bCs/>
        </w:rPr>
        <w:t>fe</w:t>
      </w:r>
    </w:p>
    <w:p w:rsidR="004B2D04" w:rsidRPr="001C246F" w:rsidRDefault="004B2D04" w:rsidP="001B4AEE">
      <w:pPr>
        <w:jc w:val="center"/>
        <w:rPr>
          <w:bCs/>
          <w:i/>
          <w:iCs/>
          <w:sz w:val="28"/>
          <w:szCs w:val="28"/>
        </w:rPr>
      </w:pPr>
      <w:r w:rsidRPr="001169C3">
        <w:rPr>
          <w:bCs/>
          <w:i/>
          <w:iCs/>
        </w:rPr>
        <w:t>Le CHU de Nantes, premier centre de transplantation en France et en Europe</w:t>
      </w:r>
      <w:r w:rsidR="00F0245D" w:rsidRPr="001169C3">
        <w:rPr>
          <w:bCs/>
          <w:i/>
          <w:iCs/>
        </w:rPr>
        <w:t xml:space="preserve"> à avoir réalisé ce nombre de greffes</w:t>
      </w:r>
    </w:p>
    <w:p w:rsidR="001F5D52" w:rsidRPr="001169C3" w:rsidRDefault="001F5D52" w:rsidP="001B4AEE">
      <w:pPr>
        <w:jc w:val="both"/>
        <w:rPr>
          <w:bCs/>
          <w:i/>
          <w:iCs/>
          <w:sz w:val="20"/>
          <w:szCs w:val="20"/>
        </w:rPr>
      </w:pPr>
    </w:p>
    <w:p w:rsidR="000B04EC" w:rsidRPr="008A2C92" w:rsidRDefault="002C6128" w:rsidP="001B4AEE">
      <w:pPr>
        <w:jc w:val="both"/>
        <w:rPr>
          <w:sz w:val="20"/>
          <w:szCs w:val="20"/>
        </w:rPr>
      </w:pPr>
      <w:r w:rsidRPr="008A2C92">
        <w:rPr>
          <w:b/>
          <w:bCs/>
          <w:sz w:val="20"/>
          <w:szCs w:val="20"/>
        </w:rPr>
        <w:t>Nantes, le mardi 30</w:t>
      </w:r>
      <w:r w:rsidR="00681241" w:rsidRPr="008A2C92">
        <w:rPr>
          <w:b/>
          <w:bCs/>
          <w:sz w:val="20"/>
          <w:szCs w:val="20"/>
        </w:rPr>
        <w:t xml:space="preserve"> mars</w:t>
      </w:r>
      <w:r w:rsidR="00475E18" w:rsidRPr="008A2C92">
        <w:rPr>
          <w:b/>
          <w:bCs/>
          <w:sz w:val="20"/>
          <w:szCs w:val="20"/>
        </w:rPr>
        <w:t xml:space="preserve"> </w:t>
      </w:r>
      <w:r w:rsidR="004B2D04" w:rsidRPr="008A2C92">
        <w:rPr>
          <w:b/>
          <w:bCs/>
          <w:sz w:val="20"/>
          <w:szCs w:val="20"/>
        </w:rPr>
        <w:t>2010</w:t>
      </w:r>
      <w:r w:rsidR="004B2D04" w:rsidRPr="008A2C92">
        <w:rPr>
          <w:sz w:val="20"/>
          <w:szCs w:val="20"/>
        </w:rPr>
        <w:t xml:space="preserve"> – Le </w:t>
      </w:r>
      <w:hyperlink r:id="rId11" w:history="1">
        <w:r w:rsidR="004B2D04" w:rsidRPr="008A2C92">
          <w:rPr>
            <w:rStyle w:val="Lienhypertexte"/>
            <w:sz w:val="20"/>
            <w:szCs w:val="20"/>
          </w:rPr>
          <w:t>CHU de Nantes</w:t>
        </w:r>
      </w:hyperlink>
      <w:r w:rsidR="004B2D04" w:rsidRPr="008A2C92">
        <w:rPr>
          <w:sz w:val="20"/>
          <w:szCs w:val="20"/>
        </w:rPr>
        <w:t xml:space="preserve"> et l’Institut</w:t>
      </w:r>
      <w:r w:rsidR="008A1A2D" w:rsidRPr="008A2C92">
        <w:rPr>
          <w:sz w:val="20"/>
          <w:szCs w:val="20"/>
        </w:rPr>
        <w:t xml:space="preserve"> de Transplantation</w:t>
      </w:r>
      <w:r w:rsidR="0091710D" w:rsidRPr="008A2C92">
        <w:rPr>
          <w:sz w:val="20"/>
          <w:szCs w:val="20"/>
        </w:rPr>
        <w:t>,</w:t>
      </w:r>
      <w:r w:rsidR="008A1A2D" w:rsidRPr="008A2C92">
        <w:rPr>
          <w:sz w:val="20"/>
          <w:szCs w:val="20"/>
        </w:rPr>
        <w:t xml:space="preserve"> </w:t>
      </w:r>
      <w:r w:rsidR="0091710D" w:rsidRPr="008A2C92">
        <w:rPr>
          <w:sz w:val="20"/>
          <w:szCs w:val="20"/>
        </w:rPr>
        <w:t>d’</w:t>
      </w:r>
      <w:r w:rsidR="008A1A2D" w:rsidRPr="008A2C92">
        <w:rPr>
          <w:sz w:val="20"/>
          <w:szCs w:val="20"/>
        </w:rPr>
        <w:t>Uro</w:t>
      </w:r>
      <w:r w:rsidR="0091710D" w:rsidRPr="008A2C92">
        <w:rPr>
          <w:sz w:val="20"/>
          <w:szCs w:val="20"/>
        </w:rPr>
        <w:t xml:space="preserve">logie et de </w:t>
      </w:r>
      <w:r w:rsidR="008A1A2D" w:rsidRPr="008A2C92">
        <w:rPr>
          <w:sz w:val="20"/>
          <w:szCs w:val="20"/>
        </w:rPr>
        <w:t xml:space="preserve">Néphrologie </w:t>
      </w:r>
      <w:r w:rsidR="004B2D04" w:rsidRPr="008A2C92">
        <w:rPr>
          <w:sz w:val="20"/>
          <w:szCs w:val="20"/>
        </w:rPr>
        <w:t>(</w:t>
      </w:r>
      <w:hyperlink r:id="rId12" w:history="1">
        <w:r w:rsidR="001C1AF6" w:rsidRPr="008A2C92">
          <w:rPr>
            <w:rStyle w:val="Lienhypertexte"/>
            <w:sz w:val="20"/>
            <w:szCs w:val="20"/>
          </w:rPr>
          <w:t>ITUN</w:t>
        </w:r>
      </w:hyperlink>
      <w:r w:rsidR="00DC6DD2" w:rsidRPr="008A2C92">
        <w:rPr>
          <w:rStyle w:val="Appelnotedebasdep"/>
          <w:sz w:val="20"/>
          <w:szCs w:val="20"/>
        </w:rPr>
        <w:footnoteReference w:id="1"/>
      </w:r>
      <w:hyperlink r:id="rId13" w:history="1"/>
      <w:r w:rsidR="004B2D04" w:rsidRPr="008A2C92">
        <w:rPr>
          <w:sz w:val="20"/>
          <w:szCs w:val="20"/>
        </w:rPr>
        <w:t>) sont heureux</w:t>
      </w:r>
      <w:r w:rsidR="001C246F" w:rsidRPr="008A2C92">
        <w:rPr>
          <w:sz w:val="20"/>
          <w:szCs w:val="20"/>
        </w:rPr>
        <w:t xml:space="preserve"> d’annoncer la réalisation de leur</w:t>
      </w:r>
      <w:r w:rsidR="004B2D04" w:rsidRPr="008A2C92">
        <w:rPr>
          <w:sz w:val="20"/>
          <w:szCs w:val="20"/>
        </w:rPr>
        <w:t xml:space="preserve"> 4000</w:t>
      </w:r>
      <w:r w:rsidR="004B2D04" w:rsidRPr="008A2C92">
        <w:rPr>
          <w:sz w:val="20"/>
          <w:szCs w:val="20"/>
          <w:vertAlign w:val="superscript"/>
        </w:rPr>
        <w:t>ème</w:t>
      </w:r>
      <w:r w:rsidR="004B2D04" w:rsidRPr="008A2C92">
        <w:rPr>
          <w:sz w:val="20"/>
          <w:szCs w:val="20"/>
        </w:rPr>
        <w:t xml:space="preserve"> greffe</w:t>
      </w:r>
      <w:r w:rsidR="00101468" w:rsidRPr="008A2C92">
        <w:rPr>
          <w:sz w:val="20"/>
          <w:szCs w:val="20"/>
        </w:rPr>
        <w:t xml:space="preserve">. </w:t>
      </w:r>
      <w:r w:rsidR="00112AEA" w:rsidRPr="008A2C92">
        <w:rPr>
          <w:sz w:val="20"/>
          <w:szCs w:val="20"/>
        </w:rPr>
        <w:t>La candidature de Nantes comme Institut Hospital</w:t>
      </w:r>
      <w:r w:rsidR="00D03AC5" w:rsidRPr="008A2C92">
        <w:rPr>
          <w:sz w:val="20"/>
          <w:szCs w:val="20"/>
        </w:rPr>
        <w:t>o-</w:t>
      </w:r>
      <w:r w:rsidR="00156381" w:rsidRPr="008A2C92">
        <w:rPr>
          <w:sz w:val="20"/>
          <w:szCs w:val="20"/>
        </w:rPr>
        <w:t xml:space="preserve"> Universitaire (IHU), projet porté par le Pr. Jean-Paul Soulillou, </w:t>
      </w:r>
      <w:r w:rsidR="00112AEA" w:rsidRPr="008A2C92">
        <w:rPr>
          <w:sz w:val="20"/>
          <w:szCs w:val="20"/>
        </w:rPr>
        <w:t>sera dévoilé</w:t>
      </w:r>
      <w:r w:rsidR="00E24DDE" w:rsidRPr="008A2C92">
        <w:rPr>
          <w:sz w:val="20"/>
          <w:szCs w:val="20"/>
        </w:rPr>
        <w:t>e</w:t>
      </w:r>
      <w:r w:rsidR="00112AEA" w:rsidRPr="008A2C92">
        <w:rPr>
          <w:sz w:val="20"/>
          <w:szCs w:val="20"/>
        </w:rPr>
        <w:t xml:space="preserve"> </w:t>
      </w:r>
      <w:r w:rsidR="00101468" w:rsidRPr="008A2C92">
        <w:rPr>
          <w:sz w:val="20"/>
          <w:szCs w:val="20"/>
        </w:rPr>
        <w:t>prochainement</w:t>
      </w:r>
      <w:r w:rsidR="00112AEA" w:rsidRPr="008A2C92">
        <w:rPr>
          <w:sz w:val="20"/>
          <w:szCs w:val="20"/>
        </w:rPr>
        <w:t>.</w:t>
      </w:r>
    </w:p>
    <w:p w:rsidR="00134990" w:rsidRPr="008A2C92" w:rsidRDefault="00134990" w:rsidP="001B4AEE">
      <w:pPr>
        <w:jc w:val="both"/>
        <w:rPr>
          <w:sz w:val="20"/>
          <w:szCs w:val="20"/>
        </w:rPr>
      </w:pPr>
    </w:p>
    <w:p w:rsidR="00156381" w:rsidRPr="008A2C92" w:rsidRDefault="001B1480" w:rsidP="001B4AEE">
      <w:pPr>
        <w:jc w:val="both"/>
        <w:rPr>
          <w:sz w:val="20"/>
          <w:szCs w:val="20"/>
        </w:rPr>
      </w:pPr>
      <w:r w:rsidRPr="008A2C92">
        <w:rPr>
          <w:sz w:val="20"/>
          <w:szCs w:val="20"/>
        </w:rPr>
        <w:t>En 2009, le don d'organes, de sang, de plaquet</w:t>
      </w:r>
      <w:r w:rsidR="00475E18" w:rsidRPr="008A2C92">
        <w:rPr>
          <w:sz w:val="20"/>
          <w:szCs w:val="20"/>
        </w:rPr>
        <w:t>tes et de moelle osseuse a reçu</w:t>
      </w:r>
      <w:r w:rsidRPr="008A2C92">
        <w:rPr>
          <w:sz w:val="20"/>
          <w:szCs w:val="20"/>
        </w:rPr>
        <w:t xml:space="preserve"> le label « </w:t>
      </w:r>
      <w:r w:rsidRPr="008A2C92">
        <w:rPr>
          <w:rStyle w:val="lev"/>
          <w:sz w:val="20"/>
          <w:szCs w:val="20"/>
        </w:rPr>
        <w:t>Grande Cause nationale »</w:t>
      </w:r>
      <w:r w:rsidR="00475E18" w:rsidRPr="008A2C92">
        <w:rPr>
          <w:sz w:val="20"/>
          <w:szCs w:val="20"/>
        </w:rPr>
        <w:t xml:space="preserve">, par le Premier Ministre, </w:t>
      </w:r>
      <w:r w:rsidRPr="008A2C92">
        <w:rPr>
          <w:sz w:val="20"/>
          <w:szCs w:val="20"/>
        </w:rPr>
        <w:t xml:space="preserve">afin de sensibiliser </w:t>
      </w:r>
      <w:r w:rsidR="002E02EE" w:rsidRPr="008A2C92">
        <w:rPr>
          <w:sz w:val="20"/>
          <w:szCs w:val="20"/>
        </w:rPr>
        <w:t xml:space="preserve">le public </w:t>
      </w:r>
      <w:r w:rsidRPr="008A2C92">
        <w:rPr>
          <w:sz w:val="20"/>
          <w:szCs w:val="20"/>
        </w:rPr>
        <w:t>aux</w:t>
      </w:r>
      <w:r w:rsidRPr="008A2C92">
        <w:rPr>
          <w:rStyle w:val="Accentuation"/>
          <w:sz w:val="20"/>
          <w:szCs w:val="20"/>
        </w:rPr>
        <w:t xml:space="preserve"> </w:t>
      </w:r>
      <w:r w:rsidRPr="008A2C92">
        <w:rPr>
          <w:rStyle w:val="Accentuation"/>
          <w:i w:val="0"/>
          <w:iCs w:val="0"/>
          <w:sz w:val="20"/>
          <w:szCs w:val="20"/>
        </w:rPr>
        <w:t>besoins non couverts du don d’organes, véritable enjeu de santé publique</w:t>
      </w:r>
      <w:r w:rsidR="00DA2FBD" w:rsidRPr="008A2C92">
        <w:rPr>
          <w:rStyle w:val="Accentuation"/>
          <w:i w:val="0"/>
          <w:iCs w:val="0"/>
          <w:sz w:val="20"/>
          <w:szCs w:val="20"/>
        </w:rPr>
        <w:t xml:space="preserve"> aujourd’hui</w:t>
      </w:r>
      <w:r w:rsidRPr="008A2C92">
        <w:rPr>
          <w:rStyle w:val="Accentuation"/>
          <w:i w:val="0"/>
          <w:iCs w:val="0"/>
          <w:sz w:val="20"/>
          <w:szCs w:val="20"/>
        </w:rPr>
        <w:t>.</w:t>
      </w:r>
      <w:r w:rsidR="00156381" w:rsidRPr="008A2C92">
        <w:rPr>
          <w:sz w:val="20"/>
          <w:szCs w:val="20"/>
        </w:rPr>
        <w:t xml:space="preserve"> </w:t>
      </w:r>
    </w:p>
    <w:p w:rsidR="00156381" w:rsidRPr="008A2C92" w:rsidRDefault="00156381" w:rsidP="001B4AEE">
      <w:pPr>
        <w:jc w:val="both"/>
        <w:rPr>
          <w:sz w:val="20"/>
          <w:szCs w:val="20"/>
        </w:rPr>
      </w:pPr>
    </w:p>
    <w:p w:rsidR="00F97F29" w:rsidRPr="008A2C92" w:rsidRDefault="00156381" w:rsidP="001B4AEE">
      <w:pPr>
        <w:jc w:val="both"/>
        <w:rPr>
          <w:sz w:val="20"/>
          <w:szCs w:val="20"/>
        </w:rPr>
      </w:pPr>
      <w:r w:rsidRPr="008A2C92">
        <w:rPr>
          <w:sz w:val="20"/>
          <w:szCs w:val="20"/>
        </w:rPr>
        <w:t xml:space="preserve">L’ITUN, au sein du CHU de Nantes, réunit des équipes de chercheurs et cliniciens travaillant sur les greffes d’organes et de cellules. Il est aujourd’hui le premier centre européen pour la greffe de rein, et parmi les </w:t>
      </w:r>
      <w:r w:rsidR="006475B1" w:rsidRPr="008A2C92">
        <w:rPr>
          <w:sz w:val="20"/>
          <w:szCs w:val="20"/>
        </w:rPr>
        <w:t xml:space="preserve">deux </w:t>
      </w:r>
      <w:r w:rsidRPr="008A2C92">
        <w:rPr>
          <w:sz w:val="20"/>
          <w:szCs w:val="20"/>
        </w:rPr>
        <w:t xml:space="preserve">premiers centres français pour la greffe de pancréas. </w:t>
      </w:r>
      <w:r w:rsidRPr="008A2C92">
        <w:rPr>
          <w:color w:val="000000"/>
          <w:sz w:val="20"/>
          <w:szCs w:val="20"/>
        </w:rPr>
        <w:t>Au 17 mars 2010, 4033</w:t>
      </w:r>
      <w:r w:rsidR="00DC6DD2" w:rsidRPr="008A2C92">
        <w:rPr>
          <w:rStyle w:val="Appelnotedebasdep"/>
          <w:color w:val="000000"/>
          <w:sz w:val="20"/>
          <w:szCs w:val="20"/>
        </w:rPr>
        <w:footnoteReference w:id="2"/>
      </w:r>
      <w:r w:rsidRPr="008A2C92">
        <w:rPr>
          <w:color w:val="000000"/>
          <w:sz w:val="20"/>
          <w:szCs w:val="20"/>
        </w:rPr>
        <w:t xml:space="preserve"> greffes </w:t>
      </w:r>
      <w:r w:rsidRPr="008A2C92">
        <w:rPr>
          <w:sz w:val="20"/>
          <w:szCs w:val="20"/>
        </w:rPr>
        <w:t>de rein</w:t>
      </w:r>
      <w:r w:rsidRPr="008A2C92">
        <w:rPr>
          <w:color w:val="000000"/>
          <w:sz w:val="20"/>
          <w:szCs w:val="20"/>
        </w:rPr>
        <w:t xml:space="preserve"> ont été réalisées à Nantes et le nombre de patients transplantés (</w:t>
      </w:r>
      <w:r w:rsidRPr="008A2C92">
        <w:rPr>
          <w:sz w:val="20"/>
          <w:szCs w:val="20"/>
        </w:rPr>
        <w:t>porteurs d’un greffon fonctionnel</w:t>
      </w:r>
      <w:r w:rsidRPr="008A2C92">
        <w:rPr>
          <w:color w:val="000000"/>
          <w:sz w:val="20"/>
          <w:szCs w:val="20"/>
        </w:rPr>
        <w:t xml:space="preserve">) </w:t>
      </w:r>
      <w:r w:rsidR="00FF0E3A" w:rsidRPr="008A2C92">
        <w:rPr>
          <w:color w:val="000000"/>
          <w:sz w:val="20"/>
          <w:szCs w:val="20"/>
        </w:rPr>
        <w:t xml:space="preserve">actuellement </w:t>
      </w:r>
      <w:r w:rsidRPr="008A2C92">
        <w:rPr>
          <w:color w:val="000000"/>
          <w:sz w:val="20"/>
          <w:szCs w:val="20"/>
        </w:rPr>
        <w:t>suivis à Nantes s’élève à 2216.</w:t>
      </w:r>
      <w:r w:rsidRPr="008A2C92">
        <w:rPr>
          <w:sz w:val="20"/>
          <w:szCs w:val="20"/>
        </w:rPr>
        <w:t xml:space="preserve"> </w:t>
      </w:r>
    </w:p>
    <w:p w:rsidR="00156381" w:rsidRPr="008A2C92" w:rsidRDefault="00156381" w:rsidP="001B4AEE">
      <w:pPr>
        <w:jc w:val="both"/>
        <w:rPr>
          <w:rStyle w:val="Accentuation"/>
          <w:i w:val="0"/>
          <w:iCs w:val="0"/>
          <w:sz w:val="20"/>
          <w:szCs w:val="20"/>
        </w:rPr>
      </w:pPr>
    </w:p>
    <w:p w:rsidR="00E3100C" w:rsidRPr="008A2C92" w:rsidRDefault="00A17CA1" w:rsidP="001B4AEE">
      <w:pPr>
        <w:jc w:val="both"/>
        <w:rPr>
          <w:rFonts w:eastAsia="Times New Roman"/>
          <w:sz w:val="20"/>
          <w:szCs w:val="20"/>
          <w:lang w:eastAsia="fr-FR"/>
        </w:rPr>
      </w:pPr>
      <w:r w:rsidRPr="008A2C92">
        <w:rPr>
          <w:rFonts w:eastAsia="Times New Roman"/>
          <w:i/>
          <w:sz w:val="20"/>
          <w:szCs w:val="20"/>
          <w:lang w:eastAsia="fr-FR"/>
        </w:rPr>
        <w:t>« Le niveau d'excellence de la transplantation rénale et pancréatique à Nantes a été atteint grâce à la coopération étroite entre néphrologues, urologues et anesthésistes de l’ITUN. Le caractère imprévisible de cette activité nécessite une disponibilité permanente et une organisation spécifique pour la réaliser dans les meilleures conditions. A cette complexité d'organisation s'ajoute</w:t>
      </w:r>
      <w:r w:rsidR="00156381" w:rsidRPr="008A2C92">
        <w:rPr>
          <w:rFonts w:eastAsia="Times New Roman"/>
          <w:i/>
          <w:sz w:val="20"/>
          <w:szCs w:val="20"/>
          <w:lang w:eastAsia="fr-FR"/>
        </w:rPr>
        <w:t>nt</w:t>
      </w:r>
      <w:r w:rsidRPr="008A2C92">
        <w:rPr>
          <w:rFonts w:eastAsia="Times New Roman"/>
          <w:i/>
          <w:sz w:val="20"/>
          <w:szCs w:val="20"/>
          <w:lang w:eastAsia="fr-FR"/>
        </w:rPr>
        <w:t xml:space="preserve"> de plus en plus les difficultés chirurgicales chez les patients multi-opérés et ceux qui attendent une double transplantation de rein et de pancréas. Des difficultés persistent </w:t>
      </w:r>
      <w:r w:rsidR="00156381" w:rsidRPr="008A2C92">
        <w:rPr>
          <w:rFonts w:eastAsia="Times New Roman"/>
          <w:i/>
          <w:sz w:val="20"/>
          <w:szCs w:val="20"/>
          <w:lang w:eastAsia="fr-FR"/>
        </w:rPr>
        <w:t xml:space="preserve">donc </w:t>
      </w:r>
      <w:r w:rsidRPr="008A2C92">
        <w:rPr>
          <w:rFonts w:eastAsia="Times New Roman"/>
          <w:i/>
          <w:sz w:val="20"/>
          <w:szCs w:val="20"/>
          <w:lang w:eastAsia="fr-FR"/>
        </w:rPr>
        <w:t xml:space="preserve">mais l’ITUN contribue à les résoudre : nous avons </w:t>
      </w:r>
      <w:r w:rsidR="004C1093" w:rsidRPr="008A2C92">
        <w:rPr>
          <w:rFonts w:eastAsia="Times New Roman"/>
          <w:i/>
          <w:sz w:val="20"/>
          <w:szCs w:val="20"/>
          <w:lang w:eastAsia="fr-FR"/>
        </w:rPr>
        <w:t xml:space="preserve">notamment </w:t>
      </w:r>
      <w:r w:rsidRPr="008A2C92">
        <w:rPr>
          <w:rFonts w:eastAsia="Times New Roman"/>
          <w:i/>
          <w:sz w:val="20"/>
          <w:szCs w:val="20"/>
          <w:lang w:eastAsia="fr-FR"/>
        </w:rPr>
        <w:t>été parmi les premiers centres français à introduire la laparoscopie sur donneur vivant en 2002 ainsi qu’à mettre en œuvre la greffe pancréatique avec dérivation intestinale et porte»</w:t>
      </w:r>
      <w:r w:rsidRPr="008A2C92">
        <w:rPr>
          <w:rFonts w:eastAsia="Times New Roman"/>
          <w:sz w:val="20"/>
          <w:szCs w:val="20"/>
          <w:lang w:eastAsia="fr-FR"/>
        </w:rPr>
        <w:t>, indique le Pr. Georges Karam, urologue en charge des greffes de rein et de pancréas à l’ITUN.</w:t>
      </w:r>
    </w:p>
    <w:p w:rsidR="00517C71" w:rsidRPr="008A2C92" w:rsidRDefault="00517C71" w:rsidP="001B4AEE">
      <w:pPr>
        <w:jc w:val="both"/>
        <w:rPr>
          <w:sz w:val="20"/>
          <w:szCs w:val="20"/>
        </w:rPr>
      </w:pPr>
    </w:p>
    <w:p w:rsidR="00885481" w:rsidRPr="008A2C92" w:rsidRDefault="00C23119" w:rsidP="001B4AEE">
      <w:pPr>
        <w:tabs>
          <w:tab w:val="left" w:pos="3686"/>
        </w:tabs>
        <w:ind w:right="99"/>
        <w:jc w:val="both"/>
        <w:rPr>
          <w:sz w:val="20"/>
          <w:szCs w:val="20"/>
        </w:rPr>
      </w:pPr>
      <w:r w:rsidRPr="008A2C92">
        <w:rPr>
          <w:sz w:val="20"/>
          <w:szCs w:val="20"/>
        </w:rPr>
        <w:t>L’</w:t>
      </w:r>
      <w:r w:rsidR="001C1AF6" w:rsidRPr="008A2C92">
        <w:rPr>
          <w:sz w:val="20"/>
          <w:szCs w:val="20"/>
        </w:rPr>
        <w:t>ITUN</w:t>
      </w:r>
      <w:r w:rsidR="0035728B" w:rsidRPr="008A2C92">
        <w:rPr>
          <w:sz w:val="20"/>
          <w:szCs w:val="20"/>
        </w:rPr>
        <w:t xml:space="preserve"> s’est doté d’un puissant outil de </w:t>
      </w:r>
      <w:r w:rsidR="00E910F1" w:rsidRPr="008A2C92">
        <w:rPr>
          <w:sz w:val="20"/>
          <w:szCs w:val="20"/>
        </w:rPr>
        <w:t>recherche</w:t>
      </w:r>
      <w:r w:rsidR="0035728B" w:rsidRPr="008A2C92">
        <w:rPr>
          <w:sz w:val="20"/>
          <w:szCs w:val="20"/>
        </w:rPr>
        <w:t xml:space="preserve"> translationnelle </w:t>
      </w:r>
      <w:r w:rsidR="00F54885" w:rsidRPr="008A2C92">
        <w:rPr>
          <w:sz w:val="20"/>
          <w:szCs w:val="20"/>
        </w:rPr>
        <w:t>(« from bedside to bench</w:t>
      </w:r>
      <w:r w:rsidR="00E4527C" w:rsidRPr="008A2C92">
        <w:rPr>
          <w:sz w:val="20"/>
          <w:szCs w:val="20"/>
        </w:rPr>
        <w:t xml:space="preserve"> and bench to bedside</w:t>
      </w:r>
      <w:r w:rsidR="00F54885" w:rsidRPr="008A2C92">
        <w:rPr>
          <w:sz w:val="20"/>
          <w:szCs w:val="20"/>
        </w:rPr>
        <w:t> ») favorisant la collaboration étroite entre chercheurs et cliniciens. Cette approche bénéficie non seulement aux patients</w:t>
      </w:r>
      <w:r w:rsidR="00FE5E18" w:rsidRPr="008A2C92">
        <w:rPr>
          <w:sz w:val="20"/>
          <w:szCs w:val="20"/>
        </w:rPr>
        <w:t>,</w:t>
      </w:r>
      <w:r w:rsidR="00F54885" w:rsidRPr="008A2C92">
        <w:rPr>
          <w:sz w:val="20"/>
          <w:szCs w:val="20"/>
        </w:rPr>
        <w:t xml:space="preserve"> à travers </w:t>
      </w:r>
      <w:r w:rsidR="00CF23B3" w:rsidRPr="008A2C92">
        <w:rPr>
          <w:sz w:val="20"/>
          <w:szCs w:val="20"/>
        </w:rPr>
        <w:t xml:space="preserve">la mise au point </w:t>
      </w:r>
      <w:r w:rsidR="00F54885" w:rsidRPr="008A2C92">
        <w:rPr>
          <w:sz w:val="20"/>
          <w:szCs w:val="20"/>
        </w:rPr>
        <w:t>de nouvelles thérapeutiques</w:t>
      </w:r>
      <w:r w:rsidR="00CF23B3" w:rsidRPr="008A2C92">
        <w:rPr>
          <w:sz w:val="20"/>
          <w:szCs w:val="20"/>
        </w:rPr>
        <w:t xml:space="preserve"> et de tests prédictifs et diagnostics</w:t>
      </w:r>
      <w:r w:rsidR="00F54885" w:rsidRPr="008A2C92">
        <w:rPr>
          <w:sz w:val="20"/>
          <w:szCs w:val="20"/>
        </w:rPr>
        <w:t>, mais aussi à la communauté scientifique et médicale, avec le développement de nouvelles approches très innovantes et prometteuses (</w:t>
      </w:r>
      <w:r w:rsidR="00740E1C" w:rsidRPr="008A2C92">
        <w:rPr>
          <w:sz w:val="20"/>
          <w:szCs w:val="20"/>
        </w:rPr>
        <w:t xml:space="preserve">2 </w:t>
      </w:r>
      <w:r w:rsidR="00E4527C" w:rsidRPr="008A2C92">
        <w:rPr>
          <w:sz w:val="20"/>
          <w:szCs w:val="20"/>
        </w:rPr>
        <w:t>publication</w:t>
      </w:r>
      <w:r w:rsidR="00740E1C" w:rsidRPr="008A2C92">
        <w:rPr>
          <w:sz w:val="20"/>
          <w:szCs w:val="20"/>
        </w:rPr>
        <w:t>s récentes</w:t>
      </w:r>
      <w:r w:rsidR="00E4527C" w:rsidRPr="008A2C92">
        <w:rPr>
          <w:sz w:val="20"/>
          <w:szCs w:val="20"/>
        </w:rPr>
        <w:t xml:space="preserve"> dans </w:t>
      </w:r>
      <w:r w:rsidR="00740E1C" w:rsidRPr="008A2C92">
        <w:rPr>
          <w:sz w:val="20"/>
          <w:szCs w:val="20"/>
        </w:rPr>
        <w:t xml:space="preserve">Science 2009 et </w:t>
      </w:r>
      <w:r w:rsidR="00F54885" w:rsidRPr="008A2C92">
        <w:rPr>
          <w:sz w:val="20"/>
          <w:szCs w:val="20"/>
        </w:rPr>
        <w:t>Science Translational Medicine</w:t>
      </w:r>
      <w:r w:rsidR="00D72EB6" w:rsidRPr="008A2C92">
        <w:rPr>
          <w:sz w:val="20"/>
          <w:szCs w:val="20"/>
        </w:rPr>
        <w:t xml:space="preserve"> </w:t>
      </w:r>
      <w:r w:rsidR="00E4527C" w:rsidRPr="008A2C92">
        <w:rPr>
          <w:sz w:val="20"/>
          <w:szCs w:val="20"/>
        </w:rPr>
        <w:t>2010</w:t>
      </w:r>
      <w:r w:rsidR="00F54885" w:rsidRPr="008A2C92">
        <w:rPr>
          <w:sz w:val="20"/>
          <w:szCs w:val="20"/>
        </w:rPr>
        <w:t>)</w:t>
      </w:r>
      <w:r w:rsidR="00FE5E18" w:rsidRPr="008A2C92">
        <w:rPr>
          <w:sz w:val="20"/>
          <w:szCs w:val="20"/>
        </w:rPr>
        <w:t xml:space="preserve">. </w:t>
      </w:r>
    </w:p>
    <w:p w:rsidR="00885481" w:rsidRPr="008A2C92" w:rsidRDefault="00885481" w:rsidP="001B4AEE">
      <w:pPr>
        <w:tabs>
          <w:tab w:val="left" w:pos="3686"/>
        </w:tabs>
        <w:ind w:right="99"/>
        <w:jc w:val="both"/>
        <w:rPr>
          <w:sz w:val="20"/>
          <w:szCs w:val="20"/>
        </w:rPr>
      </w:pPr>
    </w:p>
    <w:p w:rsidR="00885481" w:rsidRPr="008A2C92" w:rsidRDefault="00885481" w:rsidP="001B4AEE">
      <w:pPr>
        <w:jc w:val="both"/>
        <w:rPr>
          <w:sz w:val="20"/>
          <w:szCs w:val="20"/>
        </w:rPr>
      </w:pPr>
      <w:r w:rsidRPr="008A2C92">
        <w:rPr>
          <w:i/>
          <w:iCs/>
          <w:sz w:val="20"/>
          <w:szCs w:val="20"/>
        </w:rPr>
        <w:t>« La transplantation rénale apporte une formidable amélioration de l’état de santé, de la qualité de vie et de l’espérance de vie de milliers de patients insuffisants rénaux. Sans greffe, ces patients seraient soumis aux dialyses leur vie durant, procédure lourde, contraignante et coûteuse. Précurseur d’une approche de médecine translationnelle, promue en particulier par le Professeur Soulillou et son équipe, par l’intégration étroite des soins et de la recherche pour la mise au point de nouveaux traitements, l’ITUN du CHU de</w:t>
      </w:r>
      <w:r w:rsidRPr="008A2C92">
        <w:rPr>
          <w:sz w:val="20"/>
          <w:szCs w:val="20"/>
        </w:rPr>
        <w:t xml:space="preserve"> </w:t>
      </w:r>
      <w:r w:rsidRPr="008A2C92">
        <w:rPr>
          <w:i/>
          <w:iCs/>
          <w:sz w:val="20"/>
          <w:szCs w:val="20"/>
        </w:rPr>
        <w:t>Nantes est aujourd’hui l’un des centres à la pointe de l’innovation thérapeutique en transplantation rénale au service des patients »,</w:t>
      </w:r>
      <w:r w:rsidRPr="008A2C92">
        <w:rPr>
          <w:sz w:val="20"/>
          <w:szCs w:val="20"/>
        </w:rPr>
        <w:t xml:space="preserve"> souligne le Pr. Gilles Blancho, </w:t>
      </w:r>
      <w:r w:rsidR="00FF0E3A" w:rsidRPr="008A2C92">
        <w:rPr>
          <w:sz w:val="20"/>
          <w:szCs w:val="20"/>
        </w:rPr>
        <w:t>d</w:t>
      </w:r>
      <w:r w:rsidRPr="008A2C92">
        <w:rPr>
          <w:sz w:val="20"/>
          <w:szCs w:val="20"/>
        </w:rPr>
        <w:t xml:space="preserve">irecteur de l’ITUN. </w:t>
      </w:r>
    </w:p>
    <w:p w:rsidR="00885481" w:rsidRPr="008A2C92" w:rsidRDefault="00885481" w:rsidP="001B4AEE">
      <w:pPr>
        <w:tabs>
          <w:tab w:val="left" w:pos="3686"/>
        </w:tabs>
        <w:ind w:right="99"/>
        <w:jc w:val="both"/>
        <w:rPr>
          <w:sz w:val="20"/>
          <w:szCs w:val="20"/>
        </w:rPr>
      </w:pPr>
    </w:p>
    <w:p w:rsidR="00180325" w:rsidRDefault="00180325" w:rsidP="001B4AEE">
      <w:pPr>
        <w:tabs>
          <w:tab w:val="left" w:pos="3686"/>
        </w:tabs>
        <w:ind w:right="99"/>
        <w:jc w:val="both"/>
        <w:rPr>
          <w:b/>
          <w:sz w:val="20"/>
          <w:szCs w:val="20"/>
        </w:rPr>
      </w:pPr>
    </w:p>
    <w:p w:rsidR="0061118C" w:rsidRPr="008A2C92" w:rsidRDefault="0061118C" w:rsidP="001B4AEE">
      <w:pPr>
        <w:tabs>
          <w:tab w:val="left" w:pos="3686"/>
        </w:tabs>
        <w:ind w:right="99"/>
        <w:jc w:val="both"/>
        <w:rPr>
          <w:b/>
          <w:sz w:val="20"/>
          <w:szCs w:val="20"/>
        </w:rPr>
      </w:pPr>
      <w:r w:rsidRPr="008A2C92">
        <w:rPr>
          <w:b/>
          <w:sz w:val="20"/>
          <w:szCs w:val="20"/>
        </w:rPr>
        <w:lastRenderedPageBreak/>
        <w:t xml:space="preserve">Cohorte de patients transplantés et </w:t>
      </w:r>
      <w:r w:rsidR="00927712" w:rsidRPr="008A2C92">
        <w:rPr>
          <w:b/>
          <w:sz w:val="20"/>
          <w:szCs w:val="20"/>
        </w:rPr>
        <w:t>recherche épidémiologique et clinique</w:t>
      </w:r>
      <w:r w:rsidRPr="008A2C92">
        <w:rPr>
          <w:b/>
          <w:sz w:val="20"/>
          <w:szCs w:val="20"/>
        </w:rPr>
        <w:t xml:space="preserve"> </w:t>
      </w:r>
    </w:p>
    <w:p w:rsidR="00FF0E3A" w:rsidRPr="008A2C92" w:rsidRDefault="00503EEE" w:rsidP="001B4AEE">
      <w:pPr>
        <w:tabs>
          <w:tab w:val="left" w:pos="3686"/>
        </w:tabs>
        <w:ind w:right="99"/>
        <w:jc w:val="both"/>
        <w:rPr>
          <w:sz w:val="20"/>
          <w:szCs w:val="20"/>
        </w:rPr>
      </w:pPr>
      <w:r w:rsidRPr="008A2C92">
        <w:rPr>
          <w:sz w:val="20"/>
          <w:szCs w:val="20"/>
        </w:rPr>
        <w:t>Le suivi de la cohorte des patients transplantés à l’ITUN est facilité par la banque de données en transplantation DIVAT, première banque informatisée du genre en Europe grâce à son système de validation par audit (voir ci-après).</w:t>
      </w:r>
    </w:p>
    <w:p w:rsidR="0061118C" w:rsidRPr="008A2C92" w:rsidRDefault="0061118C" w:rsidP="001B4AEE">
      <w:pPr>
        <w:tabs>
          <w:tab w:val="left" w:pos="3686"/>
        </w:tabs>
        <w:ind w:right="99"/>
        <w:jc w:val="both"/>
        <w:rPr>
          <w:sz w:val="20"/>
          <w:szCs w:val="20"/>
        </w:rPr>
      </w:pPr>
      <w:r w:rsidRPr="008A2C92">
        <w:rPr>
          <w:sz w:val="20"/>
          <w:szCs w:val="20"/>
        </w:rPr>
        <w:t xml:space="preserve">DIVAT </w:t>
      </w:r>
      <w:r w:rsidR="00885481" w:rsidRPr="008A2C92">
        <w:rPr>
          <w:sz w:val="20"/>
          <w:szCs w:val="20"/>
        </w:rPr>
        <w:t xml:space="preserve">permet le recueil en temps réel de plus de 250 paramètres biologiques et médicaux par patient transplanté de rein et/ou de pancréas. </w:t>
      </w:r>
      <w:r w:rsidRPr="008A2C92">
        <w:rPr>
          <w:sz w:val="20"/>
          <w:szCs w:val="20"/>
        </w:rPr>
        <w:t>À partir de cet outil</w:t>
      </w:r>
      <w:r w:rsidR="008B48DA" w:rsidRPr="008A2C92">
        <w:rPr>
          <w:sz w:val="20"/>
          <w:szCs w:val="20"/>
        </w:rPr>
        <w:t xml:space="preserve"> développé</w:t>
      </w:r>
      <w:r w:rsidRPr="008A2C92">
        <w:rPr>
          <w:sz w:val="20"/>
          <w:szCs w:val="20"/>
        </w:rPr>
        <w:t xml:space="preserve"> </w:t>
      </w:r>
      <w:r w:rsidR="00885481" w:rsidRPr="008A2C92">
        <w:rPr>
          <w:sz w:val="20"/>
          <w:szCs w:val="20"/>
        </w:rPr>
        <w:t xml:space="preserve">en partenariat avec la société </w:t>
      </w:r>
      <w:r w:rsidR="006144AB" w:rsidRPr="008A2C92">
        <w:rPr>
          <w:sz w:val="20"/>
          <w:szCs w:val="20"/>
        </w:rPr>
        <w:t xml:space="preserve">informatique </w:t>
      </w:r>
      <w:r w:rsidR="00885481" w:rsidRPr="008A2C92">
        <w:rPr>
          <w:sz w:val="20"/>
          <w:szCs w:val="20"/>
        </w:rPr>
        <w:t>IDBC/A2</w:t>
      </w:r>
      <w:r w:rsidRPr="008A2C92">
        <w:rPr>
          <w:sz w:val="20"/>
          <w:szCs w:val="20"/>
        </w:rPr>
        <w:t>C</w:t>
      </w:r>
      <w:r w:rsidR="00643D5C" w:rsidRPr="008A2C92">
        <w:rPr>
          <w:sz w:val="20"/>
          <w:szCs w:val="20"/>
        </w:rPr>
        <w:t>O</w:t>
      </w:r>
      <w:r w:rsidR="008B48DA" w:rsidRPr="008A2C92">
        <w:rPr>
          <w:sz w:val="20"/>
          <w:szCs w:val="20"/>
        </w:rPr>
        <w:t>M</w:t>
      </w:r>
      <w:r w:rsidR="00885481" w:rsidRPr="008A2C92">
        <w:rPr>
          <w:sz w:val="20"/>
          <w:szCs w:val="20"/>
        </w:rPr>
        <w:t>, l’ITUN a organisé, via Internet un réseau unique en France entre les CHU de Nantes, Paris Necker</w:t>
      </w:r>
      <w:r w:rsidR="008B080E" w:rsidRPr="008A2C92">
        <w:rPr>
          <w:sz w:val="20"/>
          <w:szCs w:val="20"/>
        </w:rPr>
        <w:t xml:space="preserve">, Nancy, Montpellier, Toulouse </w:t>
      </w:r>
      <w:r w:rsidR="00885481" w:rsidRPr="008A2C92">
        <w:rPr>
          <w:sz w:val="20"/>
          <w:szCs w:val="20"/>
        </w:rPr>
        <w:t>et Lyon</w:t>
      </w:r>
      <w:r w:rsidR="008B080E" w:rsidRPr="008A2C92">
        <w:rPr>
          <w:sz w:val="20"/>
          <w:szCs w:val="20"/>
        </w:rPr>
        <w:t xml:space="preserve"> </w:t>
      </w:r>
      <w:r w:rsidR="00885481" w:rsidRPr="008A2C92">
        <w:rPr>
          <w:sz w:val="20"/>
          <w:szCs w:val="20"/>
        </w:rPr>
        <w:t xml:space="preserve">: DIVAT NetWork. </w:t>
      </w:r>
      <w:r w:rsidRPr="008A2C92">
        <w:rPr>
          <w:sz w:val="20"/>
          <w:szCs w:val="20"/>
        </w:rPr>
        <w:t xml:space="preserve">DIVAT regroupe les données cliniques et biologiques </w:t>
      </w:r>
      <w:r w:rsidR="00FF0E3A" w:rsidRPr="008A2C92">
        <w:rPr>
          <w:sz w:val="20"/>
          <w:szCs w:val="20"/>
        </w:rPr>
        <w:t xml:space="preserve">de </w:t>
      </w:r>
      <w:r w:rsidR="008B48DA" w:rsidRPr="008A2C92">
        <w:rPr>
          <w:sz w:val="20"/>
          <w:szCs w:val="20"/>
        </w:rPr>
        <w:t>près</w:t>
      </w:r>
      <w:r w:rsidRPr="008A2C92">
        <w:rPr>
          <w:sz w:val="20"/>
          <w:szCs w:val="20"/>
        </w:rPr>
        <w:t xml:space="preserve"> de </w:t>
      </w:r>
      <w:r w:rsidR="00F7138F" w:rsidRPr="008A2C92">
        <w:rPr>
          <w:sz w:val="20"/>
          <w:szCs w:val="20"/>
        </w:rPr>
        <w:t>15</w:t>
      </w:r>
      <w:r w:rsidRPr="008A2C92">
        <w:rPr>
          <w:sz w:val="20"/>
          <w:szCs w:val="20"/>
        </w:rPr>
        <w:t xml:space="preserve"> 000 patients</w:t>
      </w:r>
      <w:r w:rsidR="00F7138F" w:rsidRPr="008A2C92">
        <w:rPr>
          <w:sz w:val="20"/>
          <w:szCs w:val="20"/>
        </w:rPr>
        <w:t xml:space="preserve"> transplantés et suivis par ce réseau</w:t>
      </w:r>
      <w:r w:rsidRPr="008A2C92">
        <w:rPr>
          <w:sz w:val="20"/>
          <w:szCs w:val="20"/>
        </w:rPr>
        <w:t xml:space="preserve">. </w:t>
      </w:r>
    </w:p>
    <w:p w:rsidR="008B48DA" w:rsidRPr="008A2C92" w:rsidRDefault="0061118C" w:rsidP="001B4AEE">
      <w:pPr>
        <w:tabs>
          <w:tab w:val="left" w:pos="3686"/>
        </w:tabs>
        <w:ind w:right="99"/>
        <w:jc w:val="both"/>
        <w:rPr>
          <w:bCs/>
          <w:sz w:val="20"/>
          <w:szCs w:val="20"/>
        </w:rPr>
      </w:pPr>
      <w:r w:rsidRPr="008A2C92">
        <w:rPr>
          <w:sz w:val="20"/>
          <w:szCs w:val="20"/>
        </w:rPr>
        <w:t>Une des caractéristiques de DIVAT est que s</w:t>
      </w:r>
      <w:r w:rsidR="00885481" w:rsidRPr="008A2C92">
        <w:rPr>
          <w:sz w:val="20"/>
          <w:szCs w:val="20"/>
        </w:rPr>
        <w:t xml:space="preserve">es données sont validées par la pratique annuelle de « cross audits » menés </w:t>
      </w:r>
      <w:r w:rsidRPr="008A2C92">
        <w:rPr>
          <w:sz w:val="20"/>
          <w:szCs w:val="20"/>
        </w:rPr>
        <w:t>par</w:t>
      </w:r>
      <w:r w:rsidR="00885481" w:rsidRPr="008A2C92">
        <w:rPr>
          <w:sz w:val="20"/>
          <w:szCs w:val="20"/>
        </w:rPr>
        <w:t xml:space="preserve"> les différents centres</w:t>
      </w:r>
      <w:r w:rsidRPr="008A2C92">
        <w:rPr>
          <w:sz w:val="20"/>
          <w:szCs w:val="20"/>
        </w:rPr>
        <w:t xml:space="preserve"> du réseau, gage de la </w:t>
      </w:r>
      <w:r w:rsidR="008B48DA" w:rsidRPr="008A2C92">
        <w:rPr>
          <w:sz w:val="20"/>
          <w:szCs w:val="20"/>
        </w:rPr>
        <w:t xml:space="preserve">très haute </w:t>
      </w:r>
      <w:r w:rsidRPr="008A2C92">
        <w:rPr>
          <w:sz w:val="20"/>
          <w:szCs w:val="20"/>
        </w:rPr>
        <w:t>qualité des informations collectées</w:t>
      </w:r>
      <w:r w:rsidR="00885481" w:rsidRPr="008A2C92">
        <w:rPr>
          <w:sz w:val="20"/>
          <w:szCs w:val="20"/>
        </w:rPr>
        <w:t>. La base de données DIVAT est couplée à un outil de statistiques descriptives qui permet de connaître de façon approfondie et en temps réel la</w:t>
      </w:r>
      <w:r w:rsidRPr="008A2C92">
        <w:rPr>
          <w:bCs/>
          <w:sz w:val="20"/>
          <w:szCs w:val="20"/>
        </w:rPr>
        <w:t xml:space="preserve"> population de transplantés. Cela permet, d’une part, d’identifier rapidement les patients remplissant les critères d’inclusion pour participer à un essai clinique et, d’autre part, </w:t>
      </w:r>
      <w:r w:rsidR="00885481" w:rsidRPr="008A2C92">
        <w:rPr>
          <w:bCs/>
          <w:sz w:val="20"/>
          <w:szCs w:val="20"/>
        </w:rPr>
        <w:t xml:space="preserve">d’initier des travaux de recherche sur le devenir des transplants rénaux et pancréatiques. </w:t>
      </w:r>
    </w:p>
    <w:p w:rsidR="006144AB" w:rsidRPr="008A2C92" w:rsidRDefault="0061118C" w:rsidP="001B4AEE">
      <w:pPr>
        <w:tabs>
          <w:tab w:val="left" w:pos="3686"/>
        </w:tabs>
        <w:ind w:right="99"/>
        <w:jc w:val="both"/>
        <w:rPr>
          <w:sz w:val="20"/>
          <w:szCs w:val="20"/>
        </w:rPr>
      </w:pPr>
      <w:r w:rsidRPr="008A2C92">
        <w:rPr>
          <w:bCs/>
          <w:sz w:val="20"/>
          <w:szCs w:val="20"/>
        </w:rPr>
        <w:t>En outre, u</w:t>
      </w:r>
      <w:r w:rsidR="00885481" w:rsidRPr="008A2C92">
        <w:rPr>
          <w:bCs/>
          <w:sz w:val="20"/>
          <w:szCs w:val="20"/>
        </w:rPr>
        <w:t xml:space="preserve">ne </w:t>
      </w:r>
      <w:r w:rsidR="008B080E" w:rsidRPr="008A2C92">
        <w:rPr>
          <w:bCs/>
          <w:sz w:val="20"/>
          <w:szCs w:val="20"/>
        </w:rPr>
        <w:t xml:space="preserve">équipe </w:t>
      </w:r>
      <w:r w:rsidR="00885481" w:rsidRPr="008A2C92">
        <w:rPr>
          <w:bCs/>
          <w:sz w:val="20"/>
          <w:szCs w:val="20"/>
        </w:rPr>
        <w:t>encadré</w:t>
      </w:r>
      <w:r w:rsidR="008B080E" w:rsidRPr="008A2C92">
        <w:rPr>
          <w:bCs/>
          <w:sz w:val="20"/>
          <w:szCs w:val="20"/>
        </w:rPr>
        <w:t>e</w:t>
      </w:r>
      <w:r w:rsidR="00885481" w:rsidRPr="008A2C92">
        <w:rPr>
          <w:bCs/>
          <w:sz w:val="20"/>
          <w:szCs w:val="20"/>
        </w:rPr>
        <w:t xml:space="preserve"> conjointement par le Dr Véronique Sébille-Rivain (Université de Nantes</w:t>
      </w:r>
      <w:r w:rsidR="008B080E" w:rsidRPr="008A2C92">
        <w:rPr>
          <w:bCs/>
          <w:sz w:val="20"/>
          <w:szCs w:val="20"/>
        </w:rPr>
        <w:t>) et</w:t>
      </w:r>
      <w:r w:rsidR="00885481" w:rsidRPr="008A2C92">
        <w:rPr>
          <w:bCs/>
          <w:sz w:val="20"/>
          <w:szCs w:val="20"/>
        </w:rPr>
        <w:t xml:space="preserve"> le Pr. Magali Giral (ITUN) </w:t>
      </w:r>
      <w:r w:rsidR="008B080E" w:rsidRPr="008A2C92">
        <w:rPr>
          <w:bCs/>
          <w:sz w:val="20"/>
          <w:szCs w:val="20"/>
        </w:rPr>
        <w:t>permet la réalisation de</w:t>
      </w:r>
      <w:r w:rsidR="00885481" w:rsidRPr="008A2C92">
        <w:rPr>
          <w:bCs/>
          <w:sz w:val="20"/>
          <w:szCs w:val="20"/>
        </w:rPr>
        <w:t xml:space="preserve"> modèles statistiques complexes </w:t>
      </w:r>
      <w:r w:rsidR="006144AB" w:rsidRPr="008A2C92">
        <w:rPr>
          <w:bCs/>
          <w:sz w:val="20"/>
          <w:szCs w:val="20"/>
        </w:rPr>
        <w:t xml:space="preserve">et </w:t>
      </w:r>
      <w:r w:rsidR="00885481" w:rsidRPr="008A2C92">
        <w:rPr>
          <w:bCs/>
          <w:sz w:val="20"/>
          <w:szCs w:val="20"/>
        </w:rPr>
        <w:t>novateurs dans le</w:t>
      </w:r>
      <w:r w:rsidR="006144AB" w:rsidRPr="008A2C92">
        <w:rPr>
          <w:bCs/>
          <w:sz w:val="20"/>
          <w:szCs w:val="20"/>
        </w:rPr>
        <w:t xml:space="preserve"> domaine de la transplantation afin de déterminer notamment le niveau de risque de rejet des patients. L’objectif est de mettre en place une médecine personnalisée adaptée à la situation de chaque patient.</w:t>
      </w:r>
    </w:p>
    <w:p w:rsidR="0064116B" w:rsidRPr="008A2C92" w:rsidRDefault="006144AB" w:rsidP="001B4AEE">
      <w:pPr>
        <w:tabs>
          <w:tab w:val="left" w:pos="2127"/>
          <w:tab w:val="left" w:pos="3686"/>
          <w:tab w:val="left" w:pos="4536"/>
          <w:tab w:val="left" w:pos="5812"/>
          <w:tab w:val="left" w:pos="6663"/>
        </w:tabs>
        <w:ind w:right="99"/>
        <w:jc w:val="both"/>
        <w:rPr>
          <w:bCs/>
          <w:sz w:val="20"/>
          <w:szCs w:val="20"/>
        </w:rPr>
      </w:pPr>
      <w:r w:rsidRPr="008A2C92">
        <w:rPr>
          <w:sz w:val="20"/>
          <w:szCs w:val="20"/>
        </w:rPr>
        <w:t>Enfin, le</w:t>
      </w:r>
      <w:r w:rsidR="008B080E" w:rsidRPr="008A2C92">
        <w:rPr>
          <w:sz w:val="20"/>
          <w:szCs w:val="20"/>
        </w:rPr>
        <w:t xml:space="preserve"> Pr. Georges Karam de l’ITUN a obtenu en 2009 sur appels d’offres </w:t>
      </w:r>
      <w:r w:rsidR="0064116B" w:rsidRPr="008A2C92">
        <w:rPr>
          <w:sz w:val="20"/>
          <w:szCs w:val="20"/>
        </w:rPr>
        <w:t>(</w:t>
      </w:r>
      <w:r w:rsidR="00A97D26" w:rsidRPr="008A2C92">
        <w:rPr>
          <w:sz w:val="20"/>
          <w:szCs w:val="20"/>
        </w:rPr>
        <w:t>Programme Hospitalier de Recherche Clinique (</w:t>
      </w:r>
      <w:r w:rsidR="0064116B" w:rsidRPr="008A2C92">
        <w:rPr>
          <w:sz w:val="20"/>
          <w:szCs w:val="20"/>
        </w:rPr>
        <w:t>PHRC</w:t>
      </w:r>
      <w:r w:rsidR="00A97D26" w:rsidRPr="008A2C92">
        <w:rPr>
          <w:sz w:val="20"/>
          <w:szCs w:val="20"/>
        </w:rPr>
        <w:t>)</w:t>
      </w:r>
      <w:r w:rsidR="0064116B" w:rsidRPr="008A2C92">
        <w:rPr>
          <w:sz w:val="20"/>
          <w:szCs w:val="20"/>
        </w:rPr>
        <w:t xml:space="preserve"> national) </w:t>
      </w:r>
      <w:r w:rsidR="008B080E" w:rsidRPr="008A2C92">
        <w:rPr>
          <w:sz w:val="20"/>
          <w:szCs w:val="20"/>
        </w:rPr>
        <w:t xml:space="preserve">un financement par le Ministère de la Santé pour adjoindre à DIVAT </w:t>
      </w:r>
      <w:r w:rsidR="0064116B" w:rsidRPr="008A2C92">
        <w:rPr>
          <w:bCs/>
          <w:sz w:val="20"/>
          <w:szCs w:val="20"/>
        </w:rPr>
        <w:t>l</w:t>
      </w:r>
      <w:r w:rsidR="008B080E" w:rsidRPr="008A2C92">
        <w:rPr>
          <w:bCs/>
          <w:sz w:val="20"/>
          <w:szCs w:val="20"/>
        </w:rPr>
        <w:t xml:space="preserve">es données </w:t>
      </w:r>
      <w:r w:rsidRPr="008A2C92">
        <w:rPr>
          <w:bCs/>
          <w:sz w:val="20"/>
          <w:szCs w:val="20"/>
        </w:rPr>
        <w:t xml:space="preserve">portant sur l’intervention </w:t>
      </w:r>
      <w:r w:rsidR="008B080E" w:rsidRPr="008A2C92">
        <w:rPr>
          <w:bCs/>
          <w:sz w:val="20"/>
          <w:szCs w:val="20"/>
        </w:rPr>
        <w:t>chirurgical</w:t>
      </w:r>
      <w:r w:rsidRPr="008A2C92">
        <w:rPr>
          <w:bCs/>
          <w:sz w:val="20"/>
          <w:szCs w:val="20"/>
        </w:rPr>
        <w:t>e</w:t>
      </w:r>
      <w:r w:rsidR="008B080E" w:rsidRPr="008A2C92">
        <w:rPr>
          <w:bCs/>
          <w:sz w:val="20"/>
          <w:szCs w:val="20"/>
        </w:rPr>
        <w:t xml:space="preserve"> </w:t>
      </w:r>
      <w:r w:rsidR="0064116B" w:rsidRPr="008A2C92">
        <w:rPr>
          <w:bCs/>
          <w:sz w:val="20"/>
          <w:szCs w:val="20"/>
        </w:rPr>
        <w:t xml:space="preserve">et ses suites </w:t>
      </w:r>
      <w:r w:rsidR="008B080E" w:rsidRPr="008A2C92">
        <w:rPr>
          <w:bCs/>
          <w:sz w:val="20"/>
          <w:szCs w:val="20"/>
        </w:rPr>
        <w:t xml:space="preserve">: </w:t>
      </w:r>
      <w:r w:rsidR="0064116B" w:rsidRPr="008A2C92">
        <w:rPr>
          <w:bCs/>
          <w:sz w:val="20"/>
          <w:szCs w:val="20"/>
        </w:rPr>
        <w:t xml:space="preserve">il s’agit de la base de données </w:t>
      </w:r>
      <w:r w:rsidR="008B080E" w:rsidRPr="008A2C92">
        <w:rPr>
          <w:bCs/>
          <w:sz w:val="20"/>
          <w:szCs w:val="20"/>
        </w:rPr>
        <w:t xml:space="preserve">DIVAT Uro. </w:t>
      </w:r>
      <w:r w:rsidRPr="008A2C92">
        <w:rPr>
          <w:bCs/>
          <w:sz w:val="20"/>
          <w:szCs w:val="20"/>
        </w:rPr>
        <w:t>DIVAT Uro est</w:t>
      </w:r>
      <w:r w:rsidR="008B080E" w:rsidRPr="008A2C92">
        <w:rPr>
          <w:bCs/>
          <w:sz w:val="20"/>
          <w:szCs w:val="20"/>
        </w:rPr>
        <w:t xml:space="preserve"> </w:t>
      </w:r>
      <w:r w:rsidR="00FF0E3A" w:rsidRPr="008A2C92">
        <w:rPr>
          <w:bCs/>
          <w:sz w:val="20"/>
          <w:szCs w:val="20"/>
        </w:rPr>
        <w:t xml:space="preserve">un </w:t>
      </w:r>
      <w:r w:rsidR="008B080E" w:rsidRPr="008A2C92">
        <w:rPr>
          <w:bCs/>
          <w:sz w:val="20"/>
          <w:szCs w:val="20"/>
        </w:rPr>
        <w:t xml:space="preserve">outil innovant pour la promotion des </w:t>
      </w:r>
      <w:r w:rsidR="0064116B" w:rsidRPr="008A2C92">
        <w:rPr>
          <w:sz w:val="20"/>
          <w:szCs w:val="20"/>
          <w:lang w:eastAsia="ar-SA"/>
        </w:rPr>
        <w:t xml:space="preserve">études épidémiologiques ainsi que pour </w:t>
      </w:r>
      <w:r w:rsidR="008B080E" w:rsidRPr="008A2C92">
        <w:rPr>
          <w:sz w:val="20"/>
          <w:szCs w:val="20"/>
          <w:lang w:eastAsia="ar-SA"/>
        </w:rPr>
        <w:t xml:space="preserve">la détermination des bonnes pratiques et des facteurs de risque dans le domaine de la chirurgie de transplantation. </w:t>
      </w:r>
      <w:r w:rsidR="0064116B" w:rsidRPr="008A2C92">
        <w:rPr>
          <w:bCs/>
          <w:sz w:val="20"/>
          <w:szCs w:val="20"/>
        </w:rPr>
        <w:t xml:space="preserve">L’informatisation systématique, exhaustive et standardisée des données chirurgicales devraient permettre de mieux évaluer l’impact de la chirurgie et de ses complications sur le devenir des transplants, l’objectif général étant d’améliorer la qualité de la chirurgie de la transplantation et de son suivi </w:t>
      </w:r>
      <w:r w:rsidR="0064116B" w:rsidRPr="008A2C92">
        <w:rPr>
          <w:sz w:val="20"/>
          <w:szCs w:val="20"/>
        </w:rPr>
        <w:t>grâce à une meilleure connaissance des risques.</w:t>
      </w:r>
    </w:p>
    <w:p w:rsidR="00885481" w:rsidRPr="008A2C92" w:rsidRDefault="00885481" w:rsidP="001B4AEE">
      <w:pPr>
        <w:tabs>
          <w:tab w:val="left" w:pos="3686"/>
        </w:tabs>
        <w:ind w:right="99"/>
        <w:jc w:val="both"/>
        <w:rPr>
          <w:color w:val="FF0000"/>
          <w:sz w:val="20"/>
          <w:szCs w:val="20"/>
        </w:rPr>
      </w:pPr>
    </w:p>
    <w:p w:rsidR="00156381" w:rsidRDefault="00156381" w:rsidP="001B4AEE">
      <w:pPr>
        <w:jc w:val="both"/>
        <w:rPr>
          <w:color w:val="FF0000"/>
          <w:sz w:val="20"/>
          <w:szCs w:val="20"/>
        </w:rPr>
      </w:pPr>
    </w:p>
    <w:p w:rsidR="001B4AEE" w:rsidRPr="008A2C92" w:rsidRDefault="001B4AEE" w:rsidP="001B4AEE">
      <w:pPr>
        <w:jc w:val="both"/>
        <w:rPr>
          <w:color w:val="FF0000"/>
          <w:sz w:val="20"/>
          <w:szCs w:val="20"/>
        </w:rPr>
      </w:pPr>
    </w:p>
    <w:p w:rsidR="00A21529" w:rsidRPr="008A2C92" w:rsidRDefault="00A21529" w:rsidP="001B4AEE">
      <w:pPr>
        <w:jc w:val="both"/>
        <w:rPr>
          <w:b/>
          <w:bCs/>
          <w:color w:val="000000"/>
          <w:sz w:val="20"/>
          <w:szCs w:val="20"/>
        </w:rPr>
      </w:pPr>
      <w:r w:rsidRPr="008A2C92">
        <w:rPr>
          <w:b/>
          <w:bCs/>
          <w:color w:val="000000"/>
          <w:sz w:val="20"/>
          <w:szCs w:val="20"/>
        </w:rPr>
        <w:t>L’approche innovante de Nantes en e-Santé</w:t>
      </w:r>
      <w:r w:rsidR="00D31DDD" w:rsidRPr="008A2C92">
        <w:rPr>
          <w:b/>
          <w:bCs/>
          <w:color w:val="000000"/>
          <w:sz w:val="20"/>
          <w:szCs w:val="20"/>
        </w:rPr>
        <w:t xml:space="preserve"> / télémédecine </w:t>
      </w:r>
      <w:r w:rsidRPr="008A2C92">
        <w:rPr>
          <w:b/>
          <w:bCs/>
          <w:color w:val="000000"/>
          <w:sz w:val="20"/>
          <w:szCs w:val="20"/>
        </w:rPr>
        <w:t>pour le suivi des patients transplantés</w:t>
      </w:r>
    </w:p>
    <w:p w:rsidR="00A21529" w:rsidRPr="008A2C92" w:rsidRDefault="006144AB" w:rsidP="001B4AEE">
      <w:pPr>
        <w:jc w:val="both"/>
        <w:rPr>
          <w:color w:val="000000"/>
          <w:sz w:val="20"/>
          <w:szCs w:val="20"/>
        </w:rPr>
      </w:pPr>
      <w:r w:rsidRPr="008A2C92">
        <w:rPr>
          <w:sz w:val="20"/>
          <w:szCs w:val="20"/>
        </w:rPr>
        <w:t>En</w:t>
      </w:r>
      <w:r w:rsidR="00A21529" w:rsidRPr="008A2C92">
        <w:rPr>
          <w:sz w:val="20"/>
          <w:szCs w:val="20"/>
        </w:rPr>
        <w:t xml:space="preserve"> partenariat</w:t>
      </w:r>
      <w:r w:rsidRPr="008A2C92">
        <w:rPr>
          <w:sz w:val="20"/>
          <w:szCs w:val="20"/>
        </w:rPr>
        <w:t xml:space="preserve"> avec</w:t>
      </w:r>
      <w:r w:rsidR="00A21529" w:rsidRPr="008A2C92">
        <w:rPr>
          <w:sz w:val="20"/>
          <w:szCs w:val="20"/>
        </w:rPr>
        <w:t xml:space="preserve"> </w:t>
      </w:r>
      <w:r w:rsidRPr="008A2C92">
        <w:rPr>
          <w:sz w:val="20"/>
          <w:szCs w:val="20"/>
        </w:rPr>
        <w:t>la</w:t>
      </w:r>
      <w:r w:rsidR="00A21529" w:rsidRPr="008A2C92">
        <w:rPr>
          <w:sz w:val="20"/>
          <w:szCs w:val="20"/>
        </w:rPr>
        <w:t xml:space="preserve"> société </w:t>
      </w:r>
      <w:r w:rsidRPr="008A2C92">
        <w:rPr>
          <w:sz w:val="20"/>
          <w:szCs w:val="20"/>
        </w:rPr>
        <w:t>informatique IDBC-A2COM</w:t>
      </w:r>
      <w:r w:rsidR="00A21529" w:rsidRPr="008A2C92">
        <w:rPr>
          <w:sz w:val="20"/>
          <w:szCs w:val="20"/>
        </w:rPr>
        <w:t>,</w:t>
      </w:r>
      <w:r w:rsidR="00A21529" w:rsidRPr="008A2C92">
        <w:rPr>
          <w:color w:val="FF0000"/>
          <w:sz w:val="20"/>
          <w:szCs w:val="20"/>
        </w:rPr>
        <w:t xml:space="preserve"> </w:t>
      </w:r>
      <w:r w:rsidR="00A21529" w:rsidRPr="008A2C92">
        <w:rPr>
          <w:color w:val="000000"/>
          <w:sz w:val="20"/>
          <w:szCs w:val="20"/>
        </w:rPr>
        <w:t xml:space="preserve">l’ITUN a développé un logiciel appelé « DIVAT Integralis » qui regroupe les dossiers médicaux de l’ensemble des patients transplantés (rein et/ou pancréas) à Nantes. Ce logiciel développé sur un mode Internet </w:t>
      </w:r>
      <w:r w:rsidR="00146F27" w:rsidRPr="008A2C92">
        <w:rPr>
          <w:color w:val="000000"/>
          <w:sz w:val="20"/>
          <w:szCs w:val="20"/>
        </w:rPr>
        <w:t>permet de</w:t>
      </w:r>
      <w:r w:rsidR="00A21529" w:rsidRPr="008A2C92">
        <w:rPr>
          <w:color w:val="000000"/>
          <w:sz w:val="20"/>
          <w:szCs w:val="20"/>
        </w:rPr>
        <w:t xml:space="preserve"> se connecter </w:t>
      </w:r>
      <w:r w:rsidR="008A3B76" w:rsidRPr="008A2C92">
        <w:rPr>
          <w:sz w:val="20"/>
          <w:szCs w:val="20"/>
        </w:rPr>
        <w:t>de manière sécurisée</w:t>
      </w:r>
      <w:r w:rsidR="008A3B76" w:rsidRPr="008A2C92">
        <w:rPr>
          <w:color w:val="000000"/>
          <w:sz w:val="20"/>
          <w:szCs w:val="20"/>
        </w:rPr>
        <w:t xml:space="preserve"> </w:t>
      </w:r>
      <w:r w:rsidR="00A21529" w:rsidRPr="008A2C92">
        <w:rPr>
          <w:color w:val="000000"/>
          <w:sz w:val="20"/>
          <w:szCs w:val="20"/>
        </w:rPr>
        <w:t xml:space="preserve">au dossier médical de chaque patient depuis n’importe quel poste informatique. Les données sont cryptées selon le mode https. Ce nouvel outil permet de mettre en place un réseau de suivi avec les généralistes, les hôpitaux généraux, les centres de dialyse, </w:t>
      </w:r>
      <w:r w:rsidR="006D4ADD" w:rsidRPr="008A2C92">
        <w:rPr>
          <w:color w:val="000000"/>
          <w:sz w:val="20"/>
          <w:szCs w:val="20"/>
        </w:rPr>
        <w:t xml:space="preserve">et à plus long terme </w:t>
      </w:r>
      <w:r w:rsidR="00A21529" w:rsidRPr="008A2C92">
        <w:rPr>
          <w:color w:val="000000"/>
          <w:sz w:val="20"/>
          <w:szCs w:val="20"/>
        </w:rPr>
        <w:t>les laboratoires d’analyse médicale. Ce réseau doit ainsi aider au suivi optimisé et alterné des patients transplantés. Par exemple, DIVAT Integrali</w:t>
      </w:r>
      <w:r w:rsidR="006D4ADD" w:rsidRPr="008A2C92">
        <w:rPr>
          <w:color w:val="000000"/>
          <w:sz w:val="20"/>
          <w:szCs w:val="20"/>
        </w:rPr>
        <w:t xml:space="preserve">s devrait permettre aux </w:t>
      </w:r>
      <w:r w:rsidR="008A3B76" w:rsidRPr="008A2C92">
        <w:rPr>
          <w:sz w:val="20"/>
          <w:szCs w:val="20"/>
        </w:rPr>
        <w:t>cliniciens</w:t>
      </w:r>
      <w:r w:rsidR="008A3B76" w:rsidRPr="008A2C92">
        <w:rPr>
          <w:color w:val="000000"/>
          <w:sz w:val="20"/>
          <w:szCs w:val="20"/>
        </w:rPr>
        <w:t xml:space="preserve"> </w:t>
      </w:r>
      <w:r w:rsidR="006D4ADD" w:rsidRPr="008A2C92">
        <w:rPr>
          <w:color w:val="000000"/>
          <w:sz w:val="20"/>
          <w:szCs w:val="20"/>
        </w:rPr>
        <w:t xml:space="preserve">transplanteurs </w:t>
      </w:r>
      <w:r w:rsidR="00A21529" w:rsidRPr="008A2C92">
        <w:rPr>
          <w:color w:val="000000"/>
          <w:sz w:val="20"/>
          <w:szCs w:val="20"/>
        </w:rPr>
        <w:t>d’identifier les niveaux de risques des patients et d’orienter en suivi hospitalier rapproché les patients à haut risque</w:t>
      </w:r>
      <w:r w:rsidR="00582106" w:rsidRPr="008A2C92">
        <w:rPr>
          <w:color w:val="000000"/>
          <w:sz w:val="20"/>
          <w:szCs w:val="20"/>
        </w:rPr>
        <w:t xml:space="preserve"> </w:t>
      </w:r>
      <w:r w:rsidR="008A3B76" w:rsidRPr="008A2C92">
        <w:rPr>
          <w:color w:val="000000"/>
          <w:sz w:val="20"/>
          <w:szCs w:val="20"/>
        </w:rPr>
        <w:t xml:space="preserve">et </w:t>
      </w:r>
      <w:r w:rsidR="00582106" w:rsidRPr="008A2C92">
        <w:rPr>
          <w:color w:val="000000"/>
          <w:sz w:val="20"/>
          <w:szCs w:val="20"/>
        </w:rPr>
        <w:t>en suivi alterné les patients à faible risque</w:t>
      </w:r>
      <w:r w:rsidR="00A21529" w:rsidRPr="008A2C92">
        <w:rPr>
          <w:color w:val="000000"/>
          <w:sz w:val="20"/>
          <w:szCs w:val="20"/>
        </w:rPr>
        <w:t>. Ainsi, en adaptant les visites des patients en fonction de leur état de santé, les objectifs sont d’améliorer la prise en charge globale, la qualité de vie et de diminuer les dépenses de santé.</w:t>
      </w:r>
      <w:r w:rsidR="00A21529" w:rsidRPr="008A2C92">
        <w:rPr>
          <w:sz w:val="20"/>
          <w:szCs w:val="20"/>
        </w:rPr>
        <w:t xml:space="preserve"> </w:t>
      </w:r>
      <w:r w:rsidR="00507DCA" w:rsidRPr="008A2C92">
        <w:rPr>
          <w:sz w:val="20"/>
          <w:szCs w:val="20"/>
        </w:rPr>
        <w:t>Enfin, g</w:t>
      </w:r>
      <w:r w:rsidR="008A3B76" w:rsidRPr="008A2C92">
        <w:rPr>
          <w:sz w:val="20"/>
          <w:szCs w:val="20"/>
        </w:rPr>
        <w:t xml:space="preserve">râce au développement en cours d’un dispositif d’accès sécurisé et personnalisé à leur propre dossier médical </w:t>
      </w:r>
      <w:r w:rsidR="00507DCA" w:rsidRPr="008A2C92">
        <w:rPr>
          <w:sz w:val="20"/>
          <w:szCs w:val="20"/>
        </w:rPr>
        <w:t>sur DIVAT Integralis</w:t>
      </w:r>
      <w:r w:rsidR="008A3B76" w:rsidRPr="008A2C92">
        <w:rPr>
          <w:sz w:val="20"/>
          <w:szCs w:val="20"/>
        </w:rPr>
        <w:t xml:space="preserve">, </w:t>
      </w:r>
      <w:r w:rsidR="006D4ADD" w:rsidRPr="008A2C92">
        <w:rPr>
          <w:sz w:val="20"/>
          <w:szCs w:val="20"/>
        </w:rPr>
        <w:t xml:space="preserve">les patients </w:t>
      </w:r>
      <w:r w:rsidR="008A3B76" w:rsidRPr="008A2C92">
        <w:rPr>
          <w:sz w:val="20"/>
          <w:szCs w:val="20"/>
        </w:rPr>
        <w:t>auront à l’avenir</w:t>
      </w:r>
      <w:r w:rsidR="006D4ADD" w:rsidRPr="008A2C92">
        <w:rPr>
          <w:color w:val="000000"/>
          <w:sz w:val="20"/>
          <w:szCs w:val="20"/>
        </w:rPr>
        <w:t xml:space="preserve"> accès</w:t>
      </w:r>
      <w:r w:rsidR="008A3B76" w:rsidRPr="008A2C92">
        <w:rPr>
          <w:color w:val="000000"/>
          <w:sz w:val="20"/>
          <w:szCs w:val="20"/>
        </w:rPr>
        <w:t xml:space="preserve"> </w:t>
      </w:r>
      <w:r w:rsidR="006D4ADD" w:rsidRPr="008A2C92">
        <w:rPr>
          <w:color w:val="000000"/>
          <w:sz w:val="20"/>
          <w:szCs w:val="20"/>
        </w:rPr>
        <w:t xml:space="preserve">à un outil d’éducation thérapeutique en ligne. </w:t>
      </w:r>
    </w:p>
    <w:p w:rsidR="00335A78" w:rsidRPr="008A2C92" w:rsidRDefault="00335A78" w:rsidP="001B4AEE">
      <w:pPr>
        <w:jc w:val="both"/>
        <w:rPr>
          <w:sz w:val="20"/>
          <w:szCs w:val="20"/>
        </w:rPr>
      </w:pPr>
    </w:p>
    <w:p w:rsidR="00DA2FBD" w:rsidRPr="008A2C92" w:rsidRDefault="00DA2FBD" w:rsidP="001B4AEE">
      <w:pPr>
        <w:jc w:val="both"/>
        <w:rPr>
          <w:b/>
          <w:bCs/>
          <w:sz w:val="20"/>
          <w:szCs w:val="20"/>
        </w:rPr>
      </w:pPr>
      <w:r w:rsidRPr="008A2C92">
        <w:rPr>
          <w:b/>
          <w:bCs/>
          <w:sz w:val="20"/>
          <w:szCs w:val="20"/>
        </w:rPr>
        <w:t>La greffe d’</w:t>
      </w:r>
      <w:r w:rsidR="00292890" w:rsidRPr="008A2C92">
        <w:rPr>
          <w:b/>
          <w:bCs/>
          <w:sz w:val="20"/>
          <w:szCs w:val="20"/>
        </w:rPr>
        <w:t>organe, un enjeu de santé publique</w:t>
      </w:r>
    </w:p>
    <w:p w:rsidR="00A21529" w:rsidRPr="008A2C92" w:rsidRDefault="00A21529" w:rsidP="001B4AEE">
      <w:pPr>
        <w:jc w:val="both"/>
        <w:rPr>
          <w:color w:val="000000"/>
          <w:sz w:val="20"/>
          <w:szCs w:val="20"/>
        </w:rPr>
      </w:pPr>
      <w:r w:rsidRPr="008A2C92">
        <w:rPr>
          <w:color w:val="000000"/>
          <w:sz w:val="20"/>
          <w:szCs w:val="20"/>
        </w:rPr>
        <w:t>Les pathologies nécessitant à un stade de développement avancé une greffe sont nombreuses</w:t>
      </w:r>
      <w:r w:rsidR="00FF0E3A" w:rsidRPr="008A2C92">
        <w:rPr>
          <w:color w:val="000000"/>
          <w:sz w:val="20"/>
          <w:szCs w:val="20"/>
        </w:rPr>
        <w:t>,</w:t>
      </w:r>
      <w:r w:rsidRPr="008A2C92">
        <w:rPr>
          <w:color w:val="000000"/>
          <w:sz w:val="20"/>
          <w:szCs w:val="20"/>
        </w:rPr>
        <w:t xml:space="preserve"> allant de la mucoviscidose au diabète en passant par le cancer du foie.</w:t>
      </w:r>
    </w:p>
    <w:p w:rsidR="00CE33F1" w:rsidRPr="008A2C92" w:rsidRDefault="00CE33F1" w:rsidP="001B4AEE">
      <w:pPr>
        <w:jc w:val="both"/>
        <w:rPr>
          <w:sz w:val="20"/>
          <w:szCs w:val="20"/>
        </w:rPr>
      </w:pPr>
      <w:r w:rsidRPr="008A2C92">
        <w:rPr>
          <w:sz w:val="20"/>
          <w:szCs w:val="20"/>
        </w:rPr>
        <w:t>En France, en 2008 :</w:t>
      </w:r>
    </w:p>
    <w:p w:rsidR="00CE33F1" w:rsidRPr="008A2C92" w:rsidRDefault="00CE33F1" w:rsidP="001B4AEE">
      <w:pPr>
        <w:numPr>
          <w:ilvl w:val="0"/>
          <w:numId w:val="4"/>
        </w:numPr>
        <w:jc w:val="both"/>
        <w:rPr>
          <w:sz w:val="20"/>
          <w:szCs w:val="20"/>
        </w:rPr>
      </w:pPr>
      <w:r w:rsidRPr="008A2C92">
        <w:rPr>
          <w:sz w:val="20"/>
          <w:szCs w:val="20"/>
        </w:rPr>
        <w:t>plus de 13</w:t>
      </w:r>
      <w:r w:rsidR="00646199" w:rsidRPr="008A2C92">
        <w:rPr>
          <w:sz w:val="20"/>
          <w:szCs w:val="20"/>
        </w:rPr>
        <w:t> </w:t>
      </w:r>
      <w:r w:rsidRPr="008A2C92">
        <w:rPr>
          <w:sz w:val="20"/>
          <w:szCs w:val="20"/>
        </w:rPr>
        <w:t>600</w:t>
      </w:r>
      <w:r w:rsidR="00DC6DD2" w:rsidRPr="008A2C92">
        <w:rPr>
          <w:rStyle w:val="Appelnotedebasdep"/>
          <w:sz w:val="20"/>
          <w:szCs w:val="20"/>
        </w:rPr>
        <w:footnoteReference w:id="3"/>
      </w:r>
      <w:r w:rsidRPr="008A2C92">
        <w:rPr>
          <w:sz w:val="20"/>
          <w:szCs w:val="20"/>
        </w:rPr>
        <w:t xml:space="preserve"> malades étaient en attente d’une greffe (contre 13 112 en 2007) avec un délai d’attente d’environ 3 ans ; </w:t>
      </w:r>
    </w:p>
    <w:p w:rsidR="00D405B3" w:rsidRPr="008A2C92" w:rsidRDefault="00093A9A" w:rsidP="001B4AEE">
      <w:pPr>
        <w:numPr>
          <w:ilvl w:val="0"/>
          <w:numId w:val="4"/>
        </w:numPr>
        <w:jc w:val="both"/>
        <w:rPr>
          <w:sz w:val="20"/>
          <w:szCs w:val="20"/>
        </w:rPr>
      </w:pPr>
      <w:r w:rsidRPr="008A2C92">
        <w:rPr>
          <w:sz w:val="20"/>
          <w:szCs w:val="20"/>
        </w:rPr>
        <w:t>43</w:t>
      </w:r>
      <w:r w:rsidR="006A69EB" w:rsidRPr="008A2C92">
        <w:rPr>
          <w:sz w:val="20"/>
          <w:szCs w:val="20"/>
        </w:rPr>
        <w:t> </w:t>
      </w:r>
      <w:r w:rsidRPr="008A2C92">
        <w:rPr>
          <w:sz w:val="20"/>
          <w:szCs w:val="20"/>
        </w:rPr>
        <w:t>400</w:t>
      </w:r>
      <w:r w:rsidR="006A69EB" w:rsidRPr="008A2C92">
        <w:rPr>
          <w:sz w:val="20"/>
          <w:szCs w:val="20"/>
        </w:rPr>
        <w:t xml:space="preserve"> </w:t>
      </w:r>
      <w:r w:rsidR="00CE33F1" w:rsidRPr="008A2C92">
        <w:rPr>
          <w:sz w:val="20"/>
          <w:szCs w:val="20"/>
        </w:rPr>
        <w:t>porteurs de greffons dont</w:t>
      </w:r>
      <w:r w:rsidRPr="008A2C92">
        <w:rPr>
          <w:sz w:val="20"/>
          <w:szCs w:val="20"/>
        </w:rPr>
        <w:t xml:space="preserve"> 4 620 patients greffés sur l’année </w:t>
      </w:r>
      <w:r w:rsidR="00D405B3" w:rsidRPr="008A2C92">
        <w:rPr>
          <w:sz w:val="20"/>
          <w:szCs w:val="20"/>
        </w:rPr>
        <w:t xml:space="preserve">parmi lesquels : </w:t>
      </w:r>
      <w:r w:rsidRPr="008A2C92">
        <w:rPr>
          <w:sz w:val="20"/>
          <w:szCs w:val="20"/>
        </w:rPr>
        <w:t xml:space="preserve"> </w:t>
      </w:r>
    </w:p>
    <w:p w:rsidR="00D405B3" w:rsidRPr="008A2C92" w:rsidRDefault="00093A9A" w:rsidP="001B4AEE">
      <w:pPr>
        <w:numPr>
          <w:ilvl w:val="0"/>
          <w:numId w:val="3"/>
        </w:numPr>
        <w:jc w:val="both"/>
        <w:rPr>
          <w:sz w:val="20"/>
          <w:szCs w:val="20"/>
        </w:rPr>
      </w:pPr>
      <w:r w:rsidRPr="008A2C92">
        <w:rPr>
          <w:sz w:val="20"/>
          <w:szCs w:val="20"/>
        </w:rPr>
        <w:t>2</w:t>
      </w:r>
      <w:r w:rsidR="00A0700C" w:rsidRPr="008A2C92">
        <w:rPr>
          <w:sz w:val="20"/>
          <w:szCs w:val="20"/>
        </w:rPr>
        <w:t xml:space="preserve"> </w:t>
      </w:r>
      <w:r w:rsidRPr="008A2C92">
        <w:rPr>
          <w:sz w:val="20"/>
          <w:szCs w:val="20"/>
        </w:rPr>
        <w:t>937 greffes rénale</w:t>
      </w:r>
      <w:r w:rsidR="00F0245D" w:rsidRPr="008A2C92">
        <w:rPr>
          <w:sz w:val="20"/>
          <w:szCs w:val="20"/>
        </w:rPr>
        <w:t>s</w:t>
      </w:r>
      <w:r w:rsidRPr="008A2C92">
        <w:rPr>
          <w:sz w:val="20"/>
          <w:szCs w:val="20"/>
        </w:rPr>
        <w:t xml:space="preserve"> soit 64% de la totalité des greffes</w:t>
      </w:r>
      <w:r w:rsidR="00CE33F1" w:rsidRPr="008A2C92">
        <w:rPr>
          <w:sz w:val="20"/>
          <w:szCs w:val="20"/>
        </w:rPr>
        <w:t> ;</w:t>
      </w:r>
    </w:p>
    <w:p w:rsidR="00D405B3" w:rsidRPr="008A2C92" w:rsidRDefault="000601E0" w:rsidP="001B4AEE">
      <w:pPr>
        <w:numPr>
          <w:ilvl w:val="0"/>
          <w:numId w:val="3"/>
        </w:numPr>
        <w:jc w:val="both"/>
        <w:rPr>
          <w:sz w:val="20"/>
          <w:szCs w:val="20"/>
        </w:rPr>
      </w:pPr>
      <w:r w:rsidRPr="008A2C92">
        <w:rPr>
          <w:sz w:val="20"/>
          <w:szCs w:val="20"/>
        </w:rPr>
        <w:t xml:space="preserve">186 </w:t>
      </w:r>
      <w:r w:rsidR="00D405B3" w:rsidRPr="008A2C92">
        <w:rPr>
          <w:sz w:val="20"/>
          <w:szCs w:val="20"/>
        </w:rPr>
        <w:t xml:space="preserve">greffes rénales </w:t>
      </w:r>
      <w:r w:rsidRPr="008A2C92">
        <w:rPr>
          <w:sz w:val="20"/>
          <w:szCs w:val="20"/>
        </w:rPr>
        <w:t xml:space="preserve">ont été </w:t>
      </w:r>
      <w:r w:rsidR="00D405B3" w:rsidRPr="008A2C92">
        <w:rPr>
          <w:sz w:val="20"/>
          <w:szCs w:val="20"/>
        </w:rPr>
        <w:t>faites</w:t>
      </w:r>
      <w:r w:rsidRPr="008A2C92">
        <w:rPr>
          <w:sz w:val="20"/>
          <w:szCs w:val="20"/>
        </w:rPr>
        <w:t xml:space="preserve"> à Nantes, leader du nombre de greffes de reins </w:t>
      </w:r>
      <w:r w:rsidR="00D405B3" w:rsidRPr="008A2C92">
        <w:rPr>
          <w:sz w:val="20"/>
          <w:szCs w:val="20"/>
        </w:rPr>
        <w:t xml:space="preserve">réalisées </w:t>
      </w:r>
      <w:r w:rsidRPr="008A2C92">
        <w:rPr>
          <w:sz w:val="20"/>
          <w:szCs w:val="20"/>
        </w:rPr>
        <w:t>et du nombre de porteurs d’un g</w:t>
      </w:r>
      <w:r w:rsidR="00D405B3" w:rsidRPr="008A2C92">
        <w:rPr>
          <w:sz w:val="20"/>
          <w:szCs w:val="20"/>
        </w:rPr>
        <w:t>r</w:t>
      </w:r>
      <w:r w:rsidRPr="008A2C92">
        <w:rPr>
          <w:sz w:val="20"/>
          <w:szCs w:val="20"/>
        </w:rPr>
        <w:t xml:space="preserve">effon fonctionnel </w:t>
      </w:r>
      <w:r w:rsidR="00CE33F1" w:rsidRPr="008A2C92">
        <w:rPr>
          <w:sz w:val="20"/>
          <w:szCs w:val="20"/>
        </w:rPr>
        <w:t>suivi</w:t>
      </w:r>
      <w:r w:rsidR="00FF0E3A" w:rsidRPr="008A2C92">
        <w:rPr>
          <w:sz w:val="20"/>
          <w:szCs w:val="20"/>
        </w:rPr>
        <w:t>s</w:t>
      </w:r>
      <w:r w:rsidR="00CE33F1" w:rsidRPr="008A2C92">
        <w:rPr>
          <w:sz w:val="20"/>
          <w:szCs w:val="20"/>
        </w:rPr>
        <w:t xml:space="preserve"> </w:t>
      </w:r>
      <w:r w:rsidRPr="008A2C92">
        <w:rPr>
          <w:sz w:val="20"/>
          <w:szCs w:val="20"/>
        </w:rPr>
        <w:t xml:space="preserve">avec </w:t>
      </w:r>
      <w:r w:rsidR="00517C71" w:rsidRPr="008A2C92">
        <w:rPr>
          <w:sz w:val="20"/>
          <w:szCs w:val="20"/>
        </w:rPr>
        <w:t>2216</w:t>
      </w:r>
      <w:r w:rsidRPr="008A2C92">
        <w:rPr>
          <w:sz w:val="20"/>
          <w:szCs w:val="20"/>
        </w:rPr>
        <w:t xml:space="preserve"> patients</w:t>
      </w:r>
      <w:r w:rsidR="00CE33F1" w:rsidRPr="008A2C92">
        <w:rPr>
          <w:sz w:val="20"/>
          <w:szCs w:val="20"/>
        </w:rPr>
        <w:t> ;</w:t>
      </w:r>
    </w:p>
    <w:p w:rsidR="00D405B3" w:rsidRPr="008A2C92" w:rsidRDefault="00D405B3" w:rsidP="001B4AEE">
      <w:pPr>
        <w:numPr>
          <w:ilvl w:val="0"/>
          <w:numId w:val="3"/>
        </w:numPr>
        <w:jc w:val="both"/>
        <w:rPr>
          <w:sz w:val="20"/>
          <w:szCs w:val="20"/>
        </w:rPr>
      </w:pPr>
      <w:r w:rsidRPr="008A2C92">
        <w:rPr>
          <w:sz w:val="20"/>
          <w:szCs w:val="20"/>
        </w:rPr>
        <w:t>73 doubles greffes rein-pancréas (Nantes en a réalisées 26%)</w:t>
      </w:r>
      <w:r w:rsidR="00CE33F1" w:rsidRPr="008A2C92">
        <w:rPr>
          <w:sz w:val="20"/>
          <w:szCs w:val="20"/>
        </w:rPr>
        <w:t> ;</w:t>
      </w:r>
    </w:p>
    <w:p w:rsidR="00D405B3" w:rsidRPr="008A2C92" w:rsidRDefault="00D405B3" w:rsidP="001B4AEE">
      <w:pPr>
        <w:numPr>
          <w:ilvl w:val="0"/>
          <w:numId w:val="3"/>
        </w:numPr>
        <w:jc w:val="both"/>
        <w:rPr>
          <w:sz w:val="20"/>
          <w:szCs w:val="20"/>
        </w:rPr>
      </w:pPr>
      <w:r w:rsidRPr="008A2C92">
        <w:rPr>
          <w:sz w:val="20"/>
          <w:szCs w:val="20"/>
        </w:rPr>
        <w:t>8 greffes pancréas (Nantes en a réalisées 50%)</w:t>
      </w:r>
      <w:r w:rsidR="00CE33F1" w:rsidRPr="008A2C92">
        <w:rPr>
          <w:sz w:val="20"/>
          <w:szCs w:val="20"/>
        </w:rPr>
        <w:t> ;</w:t>
      </w:r>
    </w:p>
    <w:p w:rsidR="00D405B3" w:rsidRPr="008A2C92" w:rsidRDefault="00D405B3" w:rsidP="001B4AEE">
      <w:pPr>
        <w:jc w:val="both"/>
        <w:rPr>
          <w:sz w:val="20"/>
          <w:szCs w:val="20"/>
        </w:rPr>
      </w:pPr>
    </w:p>
    <w:p w:rsidR="00AC4F7A" w:rsidRPr="008A2C92" w:rsidRDefault="00CE33F1" w:rsidP="001B4AEE">
      <w:pPr>
        <w:jc w:val="both"/>
        <w:rPr>
          <w:sz w:val="20"/>
          <w:szCs w:val="20"/>
        </w:rPr>
      </w:pPr>
      <w:r w:rsidRPr="008A2C92">
        <w:rPr>
          <w:sz w:val="20"/>
          <w:szCs w:val="20"/>
        </w:rPr>
        <w:lastRenderedPageBreak/>
        <w:t>Si l</w:t>
      </w:r>
      <w:r w:rsidR="00F0245D" w:rsidRPr="008A2C92">
        <w:rPr>
          <w:sz w:val="20"/>
          <w:szCs w:val="20"/>
        </w:rPr>
        <w:t xml:space="preserve">a transplantation rénale </w:t>
      </w:r>
      <w:r w:rsidRPr="008A2C92">
        <w:rPr>
          <w:sz w:val="20"/>
          <w:szCs w:val="20"/>
        </w:rPr>
        <w:t xml:space="preserve">a connu une forte croissance (8% d’augmentation entre 2007 et 2008 et un doublement du nombre de greffes en 20 ans), elle </w:t>
      </w:r>
      <w:r w:rsidR="00D405B3" w:rsidRPr="008A2C92">
        <w:rPr>
          <w:sz w:val="20"/>
          <w:szCs w:val="20"/>
        </w:rPr>
        <w:t>souffre d’une</w:t>
      </w:r>
      <w:r w:rsidR="000601E0" w:rsidRPr="008A2C92">
        <w:rPr>
          <w:sz w:val="20"/>
          <w:szCs w:val="20"/>
        </w:rPr>
        <w:t xml:space="preserve"> pénurie</w:t>
      </w:r>
      <w:r w:rsidR="00F0245D" w:rsidRPr="008A2C92">
        <w:rPr>
          <w:sz w:val="20"/>
          <w:szCs w:val="20"/>
        </w:rPr>
        <w:t xml:space="preserve"> de greffons </w:t>
      </w:r>
      <w:r w:rsidR="000601E0" w:rsidRPr="008A2C92">
        <w:rPr>
          <w:sz w:val="20"/>
          <w:szCs w:val="20"/>
        </w:rPr>
        <w:t>et</w:t>
      </w:r>
      <w:r w:rsidR="00F0245D" w:rsidRPr="008A2C92">
        <w:rPr>
          <w:sz w:val="20"/>
          <w:szCs w:val="20"/>
        </w:rPr>
        <w:t>, en 2008, on comptait toujours 40</w:t>
      </w:r>
      <w:r w:rsidR="00646199" w:rsidRPr="008A2C92">
        <w:rPr>
          <w:sz w:val="20"/>
          <w:szCs w:val="20"/>
        </w:rPr>
        <w:t> </w:t>
      </w:r>
      <w:r w:rsidR="00F0245D" w:rsidRPr="008A2C92">
        <w:rPr>
          <w:sz w:val="20"/>
          <w:szCs w:val="20"/>
        </w:rPr>
        <w:t>000</w:t>
      </w:r>
      <w:r w:rsidR="00DC6DD2" w:rsidRPr="008A2C92">
        <w:rPr>
          <w:rStyle w:val="Appelnotedebasdep"/>
          <w:sz w:val="20"/>
          <w:szCs w:val="20"/>
        </w:rPr>
        <w:footnoteReference w:id="4"/>
      </w:r>
      <w:r w:rsidR="00F0245D" w:rsidRPr="008A2C92">
        <w:rPr>
          <w:sz w:val="20"/>
          <w:szCs w:val="20"/>
        </w:rPr>
        <w:t xml:space="preserve"> patients dialysés en France, traitement lourd à supporter pour les patients, qui doivent s’y soumettre toute leur vie, et donc couteux pour les finances publiques.</w:t>
      </w:r>
    </w:p>
    <w:p w:rsidR="003924FA" w:rsidRPr="008A2C92" w:rsidRDefault="003924FA" w:rsidP="001B4AEE">
      <w:pPr>
        <w:jc w:val="both"/>
        <w:rPr>
          <w:sz w:val="20"/>
          <w:szCs w:val="20"/>
        </w:rPr>
      </w:pPr>
    </w:p>
    <w:p w:rsidR="003924FA" w:rsidRPr="008A2C92" w:rsidRDefault="003924FA" w:rsidP="001B4AEE">
      <w:pPr>
        <w:jc w:val="both"/>
        <w:rPr>
          <w:sz w:val="20"/>
          <w:szCs w:val="20"/>
        </w:rPr>
      </w:pPr>
      <w:r w:rsidRPr="008A2C92">
        <w:rPr>
          <w:sz w:val="20"/>
          <w:szCs w:val="20"/>
        </w:rPr>
        <w:t xml:space="preserve">Outre le déficit d’organes disponibles pour les greffes, </w:t>
      </w:r>
      <w:r w:rsidR="000E0787" w:rsidRPr="008A2C92">
        <w:rPr>
          <w:sz w:val="20"/>
          <w:szCs w:val="20"/>
        </w:rPr>
        <w:t>deux</w:t>
      </w:r>
      <w:r w:rsidRPr="008A2C92">
        <w:rPr>
          <w:sz w:val="20"/>
          <w:szCs w:val="20"/>
        </w:rPr>
        <w:t xml:space="preserve"> autres problématiques se posent dans le domaine des transplantations : d’une part les risques de rejet du greffon chez la personne transplantée et, d’autre part, les complications liées à la prise d’immunosuppresseurs. Les équipes de l’ITUN, notamment en collaboration avec des sociétés de biotechnologies, s’intéressent à ces deux problématiques.</w:t>
      </w:r>
    </w:p>
    <w:p w:rsidR="00AC4F7A" w:rsidRPr="008A2C92" w:rsidRDefault="00AC4F7A" w:rsidP="001B4AEE">
      <w:pPr>
        <w:jc w:val="both"/>
        <w:rPr>
          <w:sz w:val="20"/>
          <w:szCs w:val="20"/>
        </w:rPr>
      </w:pPr>
    </w:p>
    <w:p w:rsidR="005E1794" w:rsidRPr="008A2C92" w:rsidRDefault="003F266C" w:rsidP="001B4AEE">
      <w:pPr>
        <w:jc w:val="both"/>
        <w:rPr>
          <w:rStyle w:val="lev"/>
          <w:b w:val="0"/>
          <w:color w:val="000025"/>
          <w:sz w:val="20"/>
          <w:szCs w:val="20"/>
        </w:rPr>
      </w:pPr>
      <w:r w:rsidRPr="008A2C92">
        <w:rPr>
          <w:sz w:val="20"/>
          <w:szCs w:val="20"/>
        </w:rPr>
        <w:t>Selon une étude parue en 2007 dans « </w:t>
      </w:r>
      <w:hyperlink r:id="rId14" w:history="1">
        <w:r w:rsidRPr="008A2C92">
          <w:rPr>
            <w:rStyle w:val="Lienhypertexte"/>
            <w:sz w:val="20"/>
            <w:szCs w:val="20"/>
          </w:rPr>
          <w:t>International Journal of Health Care Finance and Economics</w:t>
        </w:r>
      </w:hyperlink>
      <w:r w:rsidRPr="008A2C92">
        <w:rPr>
          <w:color w:val="000025"/>
          <w:sz w:val="20"/>
          <w:szCs w:val="20"/>
        </w:rPr>
        <w:t> » (</w:t>
      </w:r>
      <w:hyperlink r:id="rId15" w:history="1">
        <w:r w:rsidRPr="008A2C92">
          <w:rPr>
            <w:rStyle w:val="Lienhypertexte"/>
            <w:sz w:val="20"/>
            <w:szCs w:val="20"/>
          </w:rPr>
          <w:t>Volume 7, Numbers 2-3 / septembre 2007</w:t>
        </w:r>
      </w:hyperlink>
      <w:r w:rsidR="008A2C92">
        <w:rPr>
          <w:sz w:val="20"/>
          <w:szCs w:val="20"/>
        </w:rPr>
        <w:t>)</w:t>
      </w:r>
      <w:r w:rsidRPr="008A2C92">
        <w:rPr>
          <w:color w:val="000025"/>
          <w:sz w:val="20"/>
          <w:szCs w:val="20"/>
        </w:rPr>
        <w:t xml:space="preserve">, </w:t>
      </w:r>
      <w:r w:rsidRPr="008A2C92">
        <w:rPr>
          <w:rStyle w:val="lev"/>
          <w:b w:val="0"/>
          <w:color w:val="000025"/>
          <w:sz w:val="20"/>
          <w:szCs w:val="20"/>
        </w:rPr>
        <w:t>Isabelle</w:t>
      </w:r>
      <w:r w:rsidR="00D5659B" w:rsidRPr="008A2C92">
        <w:rPr>
          <w:rStyle w:val="lev"/>
          <w:b w:val="0"/>
          <w:color w:val="000025"/>
          <w:sz w:val="20"/>
          <w:szCs w:val="20"/>
        </w:rPr>
        <w:t xml:space="preserve"> </w:t>
      </w:r>
      <w:r w:rsidRPr="008A2C92">
        <w:rPr>
          <w:rStyle w:val="lev"/>
          <w:b w:val="0"/>
          <w:color w:val="000025"/>
          <w:sz w:val="20"/>
          <w:szCs w:val="20"/>
        </w:rPr>
        <w:t xml:space="preserve">Durand-Zaleski, </w:t>
      </w:r>
      <w:r w:rsidR="00C155B4" w:rsidRPr="008A2C92">
        <w:rPr>
          <w:color w:val="000025"/>
          <w:sz w:val="20"/>
          <w:szCs w:val="20"/>
        </w:rPr>
        <w:t xml:space="preserve">Christian </w:t>
      </w:r>
      <w:r w:rsidRPr="008A2C92">
        <w:rPr>
          <w:color w:val="000025"/>
          <w:sz w:val="20"/>
          <w:szCs w:val="20"/>
        </w:rPr>
        <w:t>Combe</w:t>
      </w:r>
      <w:r w:rsidRPr="008A2C92">
        <w:rPr>
          <w:color w:val="000025"/>
          <w:sz w:val="20"/>
          <w:szCs w:val="20"/>
          <w:vertAlign w:val="superscript"/>
        </w:rPr>
        <w:t>,</w:t>
      </w:r>
      <w:r w:rsidRPr="008A2C92">
        <w:rPr>
          <w:color w:val="000025"/>
          <w:sz w:val="20"/>
          <w:szCs w:val="20"/>
        </w:rPr>
        <w:t xml:space="preserve"> and Philippe</w:t>
      </w:r>
      <w:r w:rsidR="00D5659B" w:rsidRPr="008A2C92">
        <w:rPr>
          <w:color w:val="000025"/>
          <w:sz w:val="20"/>
          <w:szCs w:val="20"/>
        </w:rPr>
        <w:t xml:space="preserve"> </w:t>
      </w:r>
      <w:r w:rsidRPr="008A2C92">
        <w:rPr>
          <w:color w:val="000025"/>
          <w:sz w:val="20"/>
          <w:szCs w:val="20"/>
        </w:rPr>
        <w:t>Lang</w:t>
      </w:r>
      <w:r w:rsidRPr="008A2C92">
        <w:rPr>
          <w:rStyle w:val="lev"/>
          <w:b w:val="0"/>
          <w:color w:val="000025"/>
          <w:sz w:val="20"/>
          <w:szCs w:val="20"/>
        </w:rPr>
        <w:t xml:space="preserve"> – source CNAM 2005), le coût d’une greffe rénale</w:t>
      </w:r>
      <w:r w:rsidR="00C155B4" w:rsidRPr="008A2C92">
        <w:rPr>
          <w:rStyle w:val="lev"/>
          <w:b w:val="0"/>
          <w:color w:val="000025"/>
          <w:sz w:val="20"/>
          <w:szCs w:val="20"/>
        </w:rPr>
        <w:t xml:space="preserve">, comparé à celui de la </w:t>
      </w:r>
      <w:r w:rsidR="00146F27" w:rsidRPr="008A2C92">
        <w:rPr>
          <w:rStyle w:val="lev"/>
          <w:b w:val="0"/>
          <w:color w:val="000025"/>
          <w:sz w:val="20"/>
          <w:szCs w:val="20"/>
        </w:rPr>
        <w:t>dialyse devient</w:t>
      </w:r>
      <w:r w:rsidR="00507DCA" w:rsidRPr="008A2C92">
        <w:rPr>
          <w:rStyle w:val="lev"/>
          <w:b w:val="0"/>
          <w:color w:val="000025"/>
          <w:sz w:val="20"/>
          <w:szCs w:val="20"/>
        </w:rPr>
        <w:t xml:space="preserve"> plus </w:t>
      </w:r>
      <w:r w:rsidR="00507DCA" w:rsidRPr="008A2C92">
        <w:rPr>
          <w:rStyle w:val="lev"/>
          <w:b w:val="0"/>
          <w:sz w:val="20"/>
          <w:szCs w:val="20"/>
        </w:rPr>
        <w:t>économique</w:t>
      </w:r>
      <w:r w:rsidR="00507DCA" w:rsidRPr="008A2C92">
        <w:rPr>
          <w:rStyle w:val="lev"/>
          <w:b w:val="0"/>
          <w:color w:val="000025"/>
          <w:sz w:val="20"/>
          <w:szCs w:val="20"/>
        </w:rPr>
        <w:t xml:space="preserve"> </w:t>
      </w:r>
      <w:r w:rsidR="00B52ED4" w:rsidRPr="008A2C92">
        <w:rPr>
          <w:rStyle w:val="lev"/>
          <w:b w:val="0"/>
          <w:color w:val="000025"/>
          <w:sz w:val="20"/>
          <w:szCs w:val="20"/>
        </w:rPr>
        <w:t>dès la deuxième année,</w:t>
      </w:r>
      <w:r w:rsidRPr="008A2C92">
        <w:rPr>
          <w:rStyle w:val="lev"/>
          <w:b w:val="0"/>
          <w:color w:val="000025"/>
          <w:sz w:val="20"/>
          <w:szCs w:val="20"/>
        </w:rPr>
        <w:t xml:space="preserve"> essentiellement en raison des années de vie gagnées sans dialyse, mais aussi en termes de confort et de qualité de vie pour le patient. Cette étude estime à 84 407 euros le coût par patient pour la première année de greffe, puis à 14 005 euros le coût annuel du traitement nécessaire au patient greffé</w:t>
      </w:r>
      <w:r w:rsidR="00B52ED4" w:rsidRPr="008A2C92">
        <w:rPr>
          <w:rStyle w:val="lev"/>
          <w:b w:val="0"/>
          <w:color w:val="000025"/>
          <w:sz w:val="20"/>
          <w:szCs w:val="20"/>
        </w:rPr>
        <w:t>, comparé à 58 356 par an pour le traitement par hémodialyse (à vie).</w:t>
      </w:r>
    </w:p>
    <w:p w:rsidR="00335A78" w:rsidRPr="008A2C92" w:rsidRDefault="00335A78" w:rsidP="001B4AEE">
      <w:pPr>
        <w:jc w:val="both"/>
        <w:rPr>
          <w:rStyle w:val="lev"/>
          <w:b w:val="0"/>
          <w:color w:val="000025"/>
          <w:sz w:val="20"/>
          <w:szCs w:val="20"/>
        </w:rPr>
      </w:pPr>
    </w:p>
    <w:p w:rsidR="00335A78" w:rsidRPr="008A2C92" w:rsidRDefault="00335A78" w:rsidP="001B4AEE">
      <w:pPr>
        <w:jc w:val="both"/>
        <w:rPr>
          <w:b/>
          <w:bCs/>
          <w:sz w:val="20"/>
          <w:szCs w:val="20"/>
        </w:rPr>
      </w:pPr>
      <w:r w:rsidRPr="008A2C92">
        <w:rPr>
          <w:b/>
          <w:bCs/>
          <w:sz w:val="20"/>
          <w:szCs w:val="20"/>
        </w:rPr>
        <w:t>A propos de l’ITUN</w:t>
      </w:r>
    </w:p>
    <w:p w:rsidR="00335A78" w:rsidRPr="008A2C92" w:rsidRDefault="00335A78" w:rsidP="001B4AEE">
      <w:pPr>
        <w:pStyle w:val="Textebrut"/>
        <w:jc w:val="both"/>
        <w:rPr>
          <w:rFonts w:ascii="Times New Roman" w:hAnsi="Times New Roman"/>
          <w:sz w:val="20"/>
          <w:szCs w:val="20"/>
        </w:rPr>
      </w:pPr>
      <w:r w:rsidRPr="008A2C92">
        <w:rPr>
          <w:rFonts w:ascii="Times New Roman" w:hAnsi="Times New Roman"/>
          <w:sz w:val="20"/>
          <w:szCs w:val="20"/>
        </w:rPr>
        <w:t>L’</w:t>
      </w:r>
      <w:hyperlink r:id="rId16" w:history="1">
        <w:r w:rsidRPr="008A2C92">
          <w:rPr>
            <w:rStyle w:val="Lienhypertexte"/>
            <w:rFonts w:ascii="Times New Roman" w:hAnsi="Times New Roman"/>
            <w:sz w:val="20"/>
            <w:szCs w:val="20"/>
          </w:rPr>
          <w:t>ITUN</w:t>
        </w:r>
      </w:hyperlink>
      <w:r w:rsidRPr="008A2C92">
        <w:rPr>
          <w:rFonts w:ascii="Times New Roman" w:hAnsi="Times New Roman"/>
          <w:sz w:val="20"/>
          <w:szCs w:val="20"/>
        </w:rPr>
        <w:t xml:space="preserve"> est un institut de soins, de recherche et d’enseignement dédié aux sciences de la transplantation, de la néphrologie et de l’urologie. L’ITUN est né de la fusion de l’ITERT (Institut de Transplantation et de Recherche en Transplantation), créé en 1991 par le Pr. Jean-Paul Soulillou, avec les services hospitaliers de néphrologie, de dialyse et d'immunologie clinique et de transplantation du CHU de Nantes, ainsi que l'unité mixte de recherche </w:t>
      </w:r>
      <w:hyperlink r:id="rId17" w:history="1">
        <w:r w:rsidRPr="008A2C92">
          <w:rPr>
            <w:rStyle w:val="Lienhypertexte"/>
            <w:rFonts w:ascii="Times New Roman" w:hAnsi="Times New Roman"/>
            <w:sz w:val="20"/>
            <w:szCs w:val="20"/>
          </w:rPr>
          <w:t>INSERM 643</w:t>
        </w:r>
      </w:hyperlink>
      <w:r w:rsidRPr="008A2C92">
        <w:rPr>
          <w:rFonts w:ascii="Times New Roman" w:hAnsi="Times New Roman"/>
          <w:sz w:val="20"/>
          <w:szCs w:val="20"/>
        </w:rPr>
        <w:t xml:space="preserve"> (Université de Nante</w:t>
      </w:r>
      <w:r>
        <w:rPr>
          <w:rFonts w:ascii="Times New Roman" w:hAnsi="Times New Roman"/>
          <w:sz w:val="20"/>
          <w:szCs w:val="20"/>
        </w:rPr>
        <w:t>s/Inserm), dirigée par le Dr I</w:t>
      </w:r>
      <w:r w:rsidRPr="008A2C92">
        <w:rPr>
          <w:rFonts w:ascii="Times New Roman" w:hAnsi="Times New Roman"/>
          <w:sz w:val="20"/>
          <w:szCs w:val="20"/>
        </w:rPr>
        <w:t xml:space="preserve">gnacio </w:t>
      </w:r>
      <w:proofErr w:type="spellStart"/>
      <w:r w:rsidRPr="008A2C92">
        <w:rPr>
          <w:rFonts w:ascii="Times New Roman" w:hAnsi="Times New Roman"/>
          <w:sz w:val="20"/>
          <w:szCs w:val="20"/>
        </w:rPr>
        <w:t>Anegon</w:t>
      </w:r>
      <w:proofErr w:type="spellEnd"/>
      <w:r w:rsidRPr="008A2C92">
        <w:rPr>
          <w:rFonts w:ascii="Times New Roman" w:hAnsi="Times New Roman"/>
          <w:sz w:val="20"/>
          <w:szCs w:val="20"/>
        </w:rPr>
        <w:t xml:space="preserve">. L'institut est sous la triple tutelle du CHU de Nantes, de l'Université de Nantes et de l’Inserm. L'ITUN fédère des cliniciens, des équipes soignantes, des chercheurs, des enseignants chercheurs, des ingénieurs et des techniciens, soit aujourd’hui plus de 350 personnes dont 125 au sein de l’Unité 643. Ses équipes œuvrent quotidiennement au chevet des patients et à l'amélioration de leurs soins. Un des objectifs principaux de l’ITUN est d’appliquer les découvertes faites en laboratoire dans le domaine clinique et industriel et de proposer des solutions innovantes pour l’amélioration des soins et de la qualité de vie des patients transplantés. </w:t>
      </w:r>
    </w:p>
    <w:p w:rsidR="00335A78" w:rsidRPr="008A2C92" w:rsidRDefault="00335A78" w:rsidP="001B4AEE">
      <w:pPr>
        <w:jc w:val="both"/>
        <w:rPr>
          <w:color w:val="FF0000"/>
          <w:sz w:val="20"/>
          <w:szCs w:val="20"/>
        </w:rPr>
      </w:pPr>
    </w:p>
    <w:p w:rsidR="00335A78" w:rsidRPr="008A2C92" w:rsidRDefault="00335A78" w:rsidP="001B4AEE">
      <w:pPr>
        <w:jc w:val="both"/>
        <w:rPr>
          <w:bCs/>
          <w:sz w:val="20"/>
          <w:szCs w:val="20"/>
        </w:rPr>
      </w:pPr>
      <w:r w:rsidRPr="008A2C92">
        <w:rPr>
          <w:sz w:val="20"/>
          <w:szCs w:val="20"/>
        </w:rPr>
        <w:t xml:space="preserve">L'ITUN est dirigé depuis janvier 2010 par le Pr. Gilles Blancho qui a succédé au Pr. Jean-Paul Soulillou. Il est assisté par un directoire regroupant des cliniciens et chercheurs. L'originalité de l'institut réside dans le fait qu'il regroupe, au sein d'une même entité, des médecins, des équipes soignantes et des chercheurs. Ce mode d'organisation, l'un des tous premiers qui ait été appliqué en France, permet aux médecins et chercheurs de mutualiser leurs expertises et de mettre plus vite au point de nouvelles stratégies thérapeutiques au profit des patients. </w:t>
      </w:r>
      <w:r w:rsidRPr="008A2C92">
        <w:rPr>
          <w:bCs/>
          <w:sz w:val="20"/>
          <w:szCs w:val="20"/>
        </w:rPr>
        <w:t xml:space="preserve">L'ITUN est l'un des premiers centres européens pour la transplantation de reins et de pancréas. Il est aussi l'un des principaux acteurs de la recherche en transplantation et en </w:t>
      </w:r>
      <w:proofErr w:type="spellStart"/>
      <w:r w:rsidRPr="008A2C92">
        <w:rPr>
          <w:bCs/>
          <w:sz w:val="20"/>
          <w:szCs w:val="20"/>
        </w:rPr>
        <w:t>immuno</w:t>
      </w:r>
      <w:proofErr w:type="spellEnd"/>
      <w:r w:rsidRPr="008A2C92">
        <w:rPr>
          <w:bCs/>
          <w:sz w:val="20"/>
          <w:szCs w:val="20"/>
        </w:rPr>
        <w:t xml:space="preserve">-intervention. </w:t>
      </w:r>
    </w:p>
    <w:p w:rsidR="00335A78" w:rsidRPr="008A2C92" w:rsidRDefault="00335A78" w:rsidP="001B4AEE">
      <w:pPr>
        <w:jc w:val="both"/>
        <w:rPr>
          <w:bCs/>
          <w:sz w:val="20"/>
          <w:szCs w:val="20"/>
        </w:rPr>
      </w:pPr>
    </w:p>
    <w:p w:rsidR="00335A78" w:rsidRPr="008A2C92" w:rsidRDefault="00335A78" w:rsidP="001B4AEE">
      <w:pPr>
        <w:jc w:val="both"/>
        <w:rPr>
          <w:bCs/>
          <w:sz w:val="20"/>
          <w:szCs w:val="20"/>
        </w:rPr>
      </w:pPr>
      <w:r w:rsidRPr="008A2C92">
        <w:rPr>
          <w:bCs/>
          <w:sz w:val="20"/>
          <w:szCs w:val="20"/>
        </w:rPr>
        <w:t>L’ITUN a déposé 8 brevets et établi 2</w:t>
      </w:r>
      <w:r>
        <w:rPr>
          <w:bCs/>
          <w:sz w:val="20"/>
          <w:szCs w:val="20"/>
        </w:rPr>
        <w:t xml:space="preserve"> </w:t>
      </w:r>
      <w:r w:rsidRPr="008A2C92">
        <w:rPr>
          <w:bCs/>
          <w:sz w:val="20"/>
          <w:szCs w:val="20"/>
        </w:rPr>
        <w:t xml:space="preserve">contrats de licences d’exploitation depuis 2004. En outre, l’ITUN est à l’origine de la création de 3 start-up : </w:t>
      </w:r>
      <w:proofErr w:type="spellStart"/>
      <w:r w:rsidRPr="008A2C92">
        <w:rPr>
          <w:bCs/>
          <w:sz w:val="20"/>
          <w:szCs w:val="20"/>
        </w:rPr>
        <w:t>Lynatech</w:t>
      </w:r>
      <w:proofErr w:type="spellEnd"/>
      <w:r w:rsidRPr="008A2C92">
        <w:rPr>
          <w:bCs/>
          <w:sz w:val="20"/>
          <w:szCs w:val="20"/>
        </w:rPr>
        <w:t xml:space="preserve"> créée en 1991 (société de biotechnologie par la suite fusionnée à Sangstat Medical Corp.), </w:t>
      </w:r>
      <w:hyperlink r:id="rId18" w:history="1">
        <w:r w:rsidRPr="008A2C92">
          <w:rPr>
            <w:rStyle w:val="Lienhypertexte"/>
            <w:bCs/>
            <w:sz w:val="20"/>
            <w:szCs w:val="20"/>
          </w:rPr>
          <w:t>IDBC</w:t>
        </w:r>
      </w:hyperlink>
      <w:r w:rsidRPr="008A2C92">
        <w:rPr>
          <w:bCs/>
          <w:sz w:val="20"/>
          <w:szCs w:val="20"/>
        </w:rPr>
        <w:t xml:space="preserve"> en 2000 (société de développement informatique dans le domaine biomédical, rachetée par A2Com), et TcLand en 2002 (dont le développement rapide a donné naissance à 2 entités distinctes : </w:t>
      </w:r>
      <w:hyperlink r:id="rId19" w:history="1">
        <w:proofErr w:type="spellStart"/>
        <w:r w:rsidRPr="008A2C92">
          <w:rPr>
            <w:rStyle w:val="Lienhypertexte"/>
            <w:bCs/>
            <w:sz w:val="20"/>
            <w:szCs w:val="20"/>
          </w:rPr>
          <w:t>TcLand</w:t>
        </w:r>
        <w:proofErr w:type="spellEnd"/>
        <w:r w:rsidRPr="008A2C92">
          <w:rPr>
            <w:rStyle w:val="Lienhypertexte"/>
            <w:bCs/>
            <w:sz w:val="20"/>
            <w:szCs w:val="20"/>
          </w:rPr>
          <w:t xml:space="preserve"> Expression</w:t>
        </w:r>
      </w:hyperlink>
      <w:r w:rsidRPr="008A2C92">
        <w:rPr>
          <w:bCs/>
          <w:sz w:val="20"/>
          <w:szCs w:val="20"/>
        </w:rPr>
        <w:t xml:space="preserve"> et </w:t>
      </w:r>
      <w:hyperlink r:id="rId20" w:history="1">
        <w:proofErr w:type="spellStart"/>
        <w:r w:rsidRPr="008A2C92">
          <w:rPr>
            <w:rStyle w:val="Lienhypertexte"/>
            <w:bCs/>
            <w:sz w:val="20"/>
            <w:szCs w:val="20"/>
          </w:rPr>
          <w:t>TcL</w:t>
        </w:r>
        <w:proofErr w:type="spellEnd"/>
        <w:r w:rsidRPr="008A2C92">
          <w:rPr>
            <w:rStyle w:val="Lienhypertexte"/>
            <w:bCs/>
            <w:sz w:val="20"/>
            <w:szCs w:val="20"/>
          </w:rPr>
          <w:t xml:space="preserve"> Pharma</w:t>
        </w:r>
      </w:hyperlink>
      <w:r w:rsidRPr="008A2C92">
        <w:rPr>
          <w:bCs/>
          <w:sz w:val="20"/>
          <w:szCs w:val="20"/>
        </w:rPr>
        <w:t xml:space="preserve"> en 2007). </w:t>
      </w:r>
    </w:p>
    <w:p w:rsidR="00335A78" w:rsidRPr="008A2C92" w:rsidRDefault="00335A78" w:rsidP="001B4AEE">
      <w:pPr>
        <w:jc w:val="both"/>
        <w:rPr>
          <w:bCs/>
          <w:sz w:val="20"/>
          <w:szCs w:val="20"/>
        </w:rPr>
      </w:pPr>
    </w:p>
    <w:p w:rsidR="00335A78" w:rsidRPr="008A2C92" w:rsidRDefault="00335A78" w:rsidP="001B4AEE">
      <w:pPr>
        <w:jc w:val="both"/>
        <w:rPr>
          <w:bCs/>
          <w:sz w:val="20"/>
          <w:szCs w:val="20"/>
        </w:rPr>
      </w:pPr>
      <w:r w:rsidRPr="008A2C92">
        <w:rPr>
          <w:bCs/>
          <w:sz w:val="20"/>
          <w:szCs w:val="20"/>
        </w:rPr>
        <w:t>Par ailleurs, l'ITUN travaille avec les autres équipes de greffes (organes, gènes et cellules) du CHU de Nantes pour la création d'un IHU en Sciences de la Transplantation et d'Immunothérapies à rayonnement international.</w:t>
      </w:r>
    </w:p>
    <w:p w:rsidR="00335A78" w:rsidRPr="008A2C92" w:rsidRDefault="00335A78" w:rsidP="001B4AEE">
      <w:pPr>
        <w:jc w:val="both"/>
        <w:rPr>
          <w:sz w:val="20"/>
          <w:szCs w:val="20"/>
        </w:rPr>
      </w:pPr>
    </w:p>
    <w:p w:rsidR="007C55CD" w:rsidRPr="008A2C92" w:rsidRDefault="00887856" w:rsidP="001B4AEE">
      <w:pPr>
        <w:jc w:val="both"/>
        <w:rPr>
          <w:sz w:val="20"/>
          <w:szCs w:val="20"/>
        </w:rPr>
      </w:pPr>
      <w:r w:rsidRPr="008A2C92">
        <w:rPr>
          <w:b/>
          <w:bCs/>
          <w:sz w:val="20"/>
          <w:szCs w:val="20"/>
        </w:rPr>
        <w:t xml:space="preserve">A propos du </w:t>
      </w:r>
      <w:r w:rsidR="007C55CD" w:rsidRPr="008A2C92">
        <w:rPr>
          <w:b/>
          <w:bCs/>
          <w:sz w:val="20"/>
          <w:szCs w:val="20"/>
        </w:rPr>
        <w:t>CHU de Nantes</w:t>
      </w:r>
    </w:p>
    <w:p w:rsidR="003F350A" w:rsidRPr="008A2C92" w:rsidRDefault="003F350A" w:rsidP="001B4AEE">
      <w:pPr>
        <w:jc w:val="both"/>
        <w:rPr>
          <w:rFonts w:eastAsia="Times New Roman"/>
          <w:sz w:val="20"/>
          <w:szCs w:val="20"/>
        </w:rPr>
      </w:pPr>
      <w:r w:rsidRPr="008A2C92">
        <w:rPr>
          <w:rFonts w:eastAsia="Times New Roman"/>
          <w:sz w:val="20"/>
          <w:szCs w:val="20"/>
        </w:rPr>
        <w:t>Premier établissement de santé et premier employeur de la région des Pays de la Loire, le CHU de Nantes emploie 10 500 salariés : 1900 médecins, internes et étudiants en médecine, et 8600 agents hospitaliers</w:t>
      </w:r>
      <w:r w:rsidR="00FF0E3A" w:rsidRPr="008A2C92">
        <w:rPr>
          <w:rFonts w:eastAsia="Times New Roman"/>
          <w:sz w:val="20"/>
          <w:szCs w:val="20"/>
        </w:rPr>
        <w:t xml:space="preserve">. Il </w:t>
      </w:r>
      <w:r w:rsidRPr="008A2C92">
        <w:rPr>
          <w:rFonts w:eastAsia="Times New Roman"/>
          <w:sz w:val="20"/>
          <w:szCs w:val="20"/>
        </w:rPr>
        <w:t>compte sept sites hospitaliers : l'Hôtel-Dieu, l'hôpital Mère et Enfant, l'hôpital Saint-Jacques, l'hôpital Laënnec, l'hôpital de la Seilleraye, la Maison Beauséjour et l'Hôpital Bellier. L'une des spécificités du CHU de Nantes est de disposer d'une filiè</w:t>
      </w:r>
      <w:r w:rsidR="0067293D" w:rsidRPr="008A2C92">
        <w:rPr>
          <w:rFonts w:eastAsia="Times New Roman"/>
          <w:sz w:val="20"/>
          <w:szCs w:val="20"/>
        </w:rPr>
        <w:t>re de soins complète : 616 lits</w:t>
      </w:r>
      <w:r w:rsidRPr="008A2C92">
        <w:rPr>
          <w:rFonts w:eastAsia="Times New Roman"/>
          <w:sz w:val="20"/>
          <w:szCs w:val="20"/>
        </w:rPr>
        <w:t xml:space="preserve"> de médecine-chirurgie-obstétrique, </w:t>
      </w:r>
      <w:r w:rsidR="0067293D" w:rsidRPr="008A2C92">
        <w:rPr>
          <w:rFonts w:eastAsia="Times New Roman"/>
          <w:sz w:val="20"/>
          <w:szCs w:val="20"/>
        </w:rPr>
        <w:t>362 lits</w:t>
      </w:r>
      <w:r w:rsidRPr="008A2C92">
        <w:rPr>
          <w:rFonts w:eastAsia="Times New Roman"/>
          <w:sz w:val="20"/>
          <w:szCs w:val="20"/>
        </w:rPr>
        <w:t xml:space="preserve"> de soins de suite et de réadaptation, </w:t>
      </w:r>
      <w:r w:rsidR="0067293D" w:rsidRPr="008A2C92">
        <w:rPr>
          <w:rFonts w:eastAsia="Times New Roman"/>
          <w:sz w:val="20"/>
          <w:szCs w:val="20"/>
        </w:rPr>
        <w:t>551 lits</w:t>
      </w:r>
      <w:r w:rsidRPr="008A2C92">
        <w:rPr>
          <w:rFonts w:eastAsia="Times New Roman"/>
          <w:sz w:val="20"/>
          <w:szCs w:val="20"/>
        </w:rPr>
        <w:t xml:space="preserve"> de soins de longue durée, 560 lits de psychiatrie. Les données d'activité annuelles illustrent la dynamique de l'établissement : 850 000 journées, 78 000 entrées, 470 000 consultations externes, 88 000 passages aux urgences, 375 000 appels reçus au Centre 15, 3600 accouchements, un taux d'occupation en court séjour supérieur à 86%, une durée moyenne de séjour sur le court séjour de 5,5 jours. </w:t>
      </w:r>
    </w:p>
    <w:p w:rsidR="00F82F0D" w:rsidRPr="008A2C92" w:rsidRDefault="00F82F0D" w:rsidP="001B4AEE">
      <w:pPr>
        <w:jc w:val="both"/>
        <w:rPr>
          <w:rFonts w:eastAsia="Times New Roman"/>
          <w:sz w:val="20"/>
          <w:szCs w:val="20"/>
        </w:rPr>
      </w:pPr>
    </w:p>
    <w:p w:rsidR="001169C3" w:rsidRPr="008A2C92" w:rsidRDefault="009237C8" w:rsidP="001B4AEE">
      <w:pPr>
        <w:jc w:val="both"/>
        <w:rPr>
          <w:bCs/>
          <w:sz w:val="20"/>
          <w:szCs w:val="20"/>
        </w:rPr>
      </w:pPr>
      <w:r w:rsidRPr="008A2C92">
        <w:rPr>
          <w:bCs/>
          <w:sz w:val="20"/>
          <w:szCs w:val="20"/>
        </w:rPr>
        <w:lastRenderedPageBreak/>
        <w:t xml:space="preserve">Depuis plus de 20 ans, le </w:t>
      </w:r>
      <w:r w:rsidR="00FF0E3A" w:rsidRPr="008A2C92">
        <w:rPr>
          <w:bCs/>
          <w:sz w:val="20"/>
          <w:szCs w:val="20"/>
        </w:rPr>
        <w:t xml:space="preserve">CHU </w:t>
      </w:r>
      <w:r w:rsidRPr="008A2C92">
        <w:rPr>
          <w:bCs/>
          <w:sz w:val="20"/>
          <w:szCs w:val="20"/>
        </w:rPr>
        <w:t>de Nantes s'est attaché à poursuivre une politique extrêmement volontariste pour assurer la promotion de la recherche biomédicale</w:t>
      </w:r>
      <w:r w:rsidR="0063375B" w:rsidRPr="008A2C92">
        <w:rPr>
          <w:bCs/>
          <w:sz w:val="20"/>
          <w:szCs w:val="20"/>
        </w:rPr>
        <w:t xml:space="preserve">, cette politique </w:t>
      </w:r>
      <w:r w:rsidR="00CF29B4" w:rsidRPr="008A2C92">
        <w:rPr>
          <w:bCs/>
          <w:sz w:val="20"/>
          <w:szCs w:val="20"/>
        </w:rPr>
        <w:t xml:space="preserve">est </w:t>
      </w:r>
      <w:r w:rsidR="0063375B" w:rsidRPr="008A2C92">
        <w:rPr>
          <w:bCs/>
          <w:sz w:val="20"/>
          <w:szCs w:val="20"/>
        </w:rPr>
        <w:t xml:space="preserve">menée de </w:t>
      </w:r>
      <w:r w:rsidR="003924FA" w:rsidRPr="008A2C92">
        <w:rPr>
          <w:bCs/>
          <w:sz w:val="20"/>
          <w:szCs w:val="20"/>
        </w:rPr>
        <w:t>front</w:t>
      </w:r>
      <w:r w:rsidR="0063375B" w:rsidRPr="008A2C92">
        <w:rPr>
          <w:bCs/>
          <w:sz w:val="20"/>
          <w:szCs w:val="20"/>
        </w:rPr>
        <w:t xml:space="preserve"> avec celle de la </w:t>
      </w:r>
      <w:r w:rsidR="00CB60CE" w:rsidRPr="008A2C92">
        <w:rPr>
          <w:bCs/>
          <w:sz w:val="20"/>
          <w:szCs w:val="20"/>
        </w:rPr>
        <w:t>Faculté</w:t>
      </w:r>
      <w:r w:rsidR="0063375B" w:rsidRPr="008A2C92">
        <w:rPr>
          <w:bCs/>
          <w:sz w:val="20"/>
          <w:szCs w:val="20"/>
        </w:rPr>
        <w:t xml:space="preserve"> de Médecine de l’Université de Nantes et en accord avec l’Inserm</w:t>
      </w:r>
      <w:r w:rsidRPr="008A2C92">
        <w:rPr>
          <w:bCs/>
          <w:sz w:val="20"/>
          <w:szCs w:val="20"/>
        </w:rPr>
        <w:t>. Il fait partie aujourd'hui des 10 CHU "fort chercheur".</w:t>
      </w:r>
      <w:r w:rsidR="00A21529" w:rsidRPr="008A2C92">
        <w:rPr>
          <w:bCs/>
          <w:sz w:val="20"/>
          <w:szCs w:val="20"/>
        </w:rPr>
        <w:t xml:space="preserve"> Cette politique a permis de faire émerger quatre instituts de recherche et de soins autour de thématiques fortes : </w:t>
      </w:r>
      <w:r w:rsidR="00507DCA" w:rsidRPr="008A2C92">
        <w:rPr>
          <w:bCs/>
          <w:sz w:val="20"/>
          <w:szCs w:val="20"/>
        </w:rPr>
        <w:t xml:space="preserve">l’ITUN pour </w:t>
      </w:r>
      <w:r w:rsidR="00A21529" w:rsidRPr="008A2C92">
        <w:rPr>
          <w:bCs/>
          <w:sz w:val="20"/>
          <w:szCs w:val="20"/>
        </w:rPr>
        <w:t xml:space="preserve">l'immuno-transplantation, </w:t>
      </w:r>
      <w:r w:rsidR="00507DCA" w:rsidRPr="008A2C92">
        <w:rPr>
          <w:bCs/>
          <w:sz w:val="20"/>
          <w:szCs w:val="20"/>
        </w:rPr>
        <w:t xml:space="preserve">l’IRCNA pour </w:t>
      </w:r>
      <w:r w:rsidR="00A21529" w:rsidRPr="008A2C92">
        <w:rPr>
          <w:bCs/>
          <w:sz w:val="20"/>
          <w:szCs w:val="20"/>
        </w:rPr>
        <w:t>la cancérologie,</w:t>
      </w:r>
      <w:r w:rsidR="00A21529" w:rsidRPr="008A2C92">
        <w:rPr>
          <w:sz w:val="20"/>
          <w:szCs w:val="20"/>
        </w:rPr>
        <w:t xml:space="preserve"> </w:t>
      </w:r>
      <w:r w:rsidR="00507DCA" w:rsidRPr="008A2C92">
        <w:rPr>
          <w:sz w:val="20"/>
          <w:szCs w:val="20"/>
        </w:rPr>
        <w:t xml:space="preserve">l’Institut du Thorax pour </w:t>
      </w:r>
      <w:r w:rsidR="00507DCA" w:rsidRPr="008A2C92">
        <w:rPr>
          <w:bCs/>
          <w:sz w:val="20"/>
          <w:szCs w:val="20"/>
        </w:rPr>
        <w:t>les maladies cardio-vasculaires, endocrines et pulmonaires</w:t>
      </w:r>
      <w:r w:rsidR="00FF0E3A" w:rsidRPr="008A2C92">
        <w:rPr>
          <w:bCs/>
          <w:sz w:val="20"/>
          <w:szCs w:val="20"/>
        </w:rPr>
        <w:t>,</w:t>
      </w:r>
      <w:r w:rsidR="00507DCA" w:rsidRPr="008A2C92">
        <w:rPr>
          <w:bCs/>
          <w:sz w:val="20"/>
          <w:szCs w:val="20"/>
        </w:rPr>
        <w:t xml:space="preserve"> </w:t>
      </w:r>
      <w:r w:rsidR="00A21529" w:rsidRPr="008A2C92">
        <w:rPr>
          <w:bCs/>
          <w:sz w:val="20"/>
          <w:szCs w:val="20"/>
        </w:rPr>
        <w:t>et</w:t>
      </w:r>
      <w:r w:rsidR="00507DCA" w:rsidRPr="008A2C92">
        <w:rPr>
          <w:bCs/>
          <w:sz w:val="20"/>
          <w:szCs w:val="20"/>
        </w:rPr>
        <w:t xml:space="preserve"> l’IMAD pour</w:t>
      </w:r>
      <w:r w:rsidR="00A21529" w:rsidRPr="008A2C92">
        <w:rPr>
          <w:bCs/>
          <w:sz w:val="20"/>
          <w:szCs w:val="20"/>
        </w:rPr>
        <w:t xml:space="preserve"> les maladies de l'appareil digestif. Cette organisation en institut intégrant soins et recherche est générateur d’innovation et cité en modèle par d’autres hôpitaux. </w:t>
      </w:r>
    </w:p>
    <w:p w:rsidR="00F82F0D" w:rsidRPr="008A2C92" w:rsidRDefault="00F82F0D" w:rsidP="001B4AEE">
      <w:pPr>
        <w:jc w:val="both"/>
        <w:rPr>
          <w:rFonts w:eastAsia="Times New Roman"/>
          <w:sz w:val="20"/>
          <w:szCs w:val="20"/>
        </w:rPr>
      </w:pPr>
    </w:p>
    <w:p w:rsidR="005E1794" w:rsidRPr="008A2C92" w:rsidRDefault="009237C8" w:rsidP="001B4AEE">
      <w:pPr>
        <w:jc w:val="both"/>
        <w:rPr>
          <w:bCs/>
          <w:sz w:val="20"/>
          <w:szCs w:val="20"/>
        </w:rPr>
      </w:pPr>
      <w:r w:rsidRPr="008A2C92">
        <w:rPr>
          <w:bCs/>
          <w:sz w:val="20"/>
          <w:szCs w:val="20"/>
        </w:rPr>
        <w:t>Trois statistiques illustrent la progression du secteur de la recherche en santé sur Nantes</w:t>
      </w:r>
      <w:r w:rsidR="00FF0E3A" w:rsidRPr="008A2C92">
        <w:rPr>
          <w:bCs/>
          <w:sz w:val="20"/>
          <w:szCs w:val="20"/>
        </w:rPr>
        <w:t xml:space="preserve"> </w:t>
      </w:r>
      <w:r w:rsidRPr="008A2C92">
        <w:rPr>
          <w:bCs/>
          <w:sz w:val="20"/>
          <w:szCs w:val="20"/>
        </w:rPr>
        <w:t>: les effectifs des laboratoires de recherche spécialisés sont passés de 70 en 1990 à plus de 700 en 2009</w:t>
      </w:r>
      <w:r w:rsidR="00FF0E3A" w:rsidRPr="008A2C92">
        <w:rPr>
          <w:bCs/>
          <w:sz w:val="20"/>
          <w:szCs w:val="20"/>
        </w:rPr>
        <w:t xml:space="preserve"> </w:t>
      </w:r>
      <w:r w:rsidRPr="008A2C92">
        <w:rPr>
          <w:bCs/>
          <w:sz w:val="20"/>
          <w:szCs w:val="20"/>
        </w:rPr>
        <w:t xml:space="preserve">; le nombre de laboratoires </w:t>
      </w:r>
      <w:r w:rsidR="00507DCA" w:rsidRPr="008A2C92">
        <w:rPr>
          <w:bCs/>
          <w:sz w:val="20"/>
          <w:szCs w:val="20"/>
        </w:rPr>
        <w:t xml:space="preserve">labellisés </w:t>
      </w:r>
      <w:r w:rsidRPr="008A2C92">
        <w:rPr>
          <w:bCs/>
          <w:sz w:val="20"/>
          <w:szCs w:val="20"/>
        </w:rPr>
        <w:t>par l'Inserm a évolué sur la même période de 1 à 13</w:t>
      </w:r>
      <w:r w:rsidR="001169C3" w:rsidRPr="008A2C92">
        <w:rPr>
          <w:bCs/>
          <w:sz w:val="20"/>
          <w:szCs w:val="20"/>
        </w:rPr>
        <w:t xml:space="preserve"> et </w:t>
      </w:r>
      <w:r w:rsidRPr="008A2C92">
        <w:rPr>
          <w:bCs/>
          <w:sz w:val="20"/>
          <w:szCs w:val="20"/>
        </w:rPr>
        <w:t>le nombre de projets d'entreprises issus de la recherche biomédicale a été multiplié par 10.</w:t>
      </w:r>
      <w:r w:rsidRPr="008A2C92">
        <w:rPr>
          <w:sz w:val="20"/>
          <w:szCs w:val="20"/>
        </w:rPr>
        <w:t xml:space="preserve"> </w:t>
      </w:r>
      <w:r w:rsidRPr="008A2C92">
        <w:rPr>
          <w:bCs/>
          <w:sz w:val="20"/>
          <w:szCs w:val="20"/>
        </w:rPr>
        <w:t xml:space="preserve">La recherche en santé nantaise se caractérise par la forte implication de l'hôpital au niveau de la recherche </w:t>
      </w:r>
      <w:r w:rsidR="0063375B" w:rsidRPr="008A2C92">
        <w:rPr>
          <w:bCs/>
          <w:sz w:val="20"/>
          <w:szCs w:val="20"/>
        </w:rPr>
        <w:t>préclinique</w:t>
      </w:r>
      <w:r w:rsidR="00FF0E3A" w:rsidRPr="008A2C92">
        <w:rPr>
          <w:bCs/>
          <w:sz w:val="20"/>
          <w:szCs w:val="20"/>
        </w:rPr>
        <w:t>,</w:t>
      </w:r>
      <w:r w:rsidRPr="008A2C92">
        <w:rPr>
          <w:bCs/>
          <w:sz w:val="20"/>
          <w:szCs w:val="20"/>
        </w:rPr>
        <w:t xml:space="preserve"> par la qualité du partenariat noué avec l'Inserm</w:t>
      </w:r>
      <w:r w:rsidR="0063375B" w:rsidRPr="008A2C92">
        <w:rPr>
          <w:bCs/>
          <w:sz w:val="20"/>
          <w:szCs w:val="20"/>
        </w:rPr>
        <w:t>, avec</w:t>
      </w:r>
      <w:r w:rsidRPr="008A2C92">
        <w:rPr>
          <w:bCs/>
          <w:sz w:val="20"/>
          <w:szCs w:val="20"/>
        </w:rPr>
        <w:t xml:space="preserve"> les unités de formation et de recherche de santé </w:t>
      </w:r>
      <w:r w:rsidR="0063375B" w:rsidRPr="008A2C92">
        <w:rPr>
          <w:bCs/>
          <w:sz w:val="20"/>
          <w:szCs w:val="20"/>
        </w:rPr>
        <w:t>(Facultés de Médecine, de Pharmacie et d’Odontologie</w:t>
      </w:r>
      <w:r w:rsidRPr="008A2C92">
        <w:rPr>
          <w:bCs/>
          <w:sz w:val="20"/>
          <w:szCs w:val="20"/>
        </w:rPr>
        <w:t xml:space="preserve"> </w:t>
      </w:r>
      <w:r w:rsidR="0063375B" w:rsidRPr="008A2C92">
        <w:rPr>
          <w:bCs/>
          <w:sz w:val="20"/>
          <w:szCs w:val="20"/>
        </w:rPr>
        <w:t>de l</w:t>
      </w:r>
      <w:r w:rsidRPr="008A2C92">
        <w:rPr>
          <w:bCs/>
          <w:sz w:val="20"/>
          <w:szCs w:val="20"/>
        </w:rPr>
        <w:t>'</w:t>
      </w:r>
      <w:r w:rsidR="00F97F29" w:rsidRPr="008A2C92">
        <w:rPr>
          <w:bCs/>
          <w:sz w:val="20"/>
          <w:szCs w:val="20"/>
        </w:rPr>
        <w:t>U</w:t>
      </w:r>
      <w:r w:rsidRPr="008A2C92">
        <w:rPr>
          <w:bCs/>
          <w:sz w:val="20"/>
          <w:szCs w:val="20"/>
        </w:rPr>
        <w:t>niversité de Nantes</w:t>
      </w:r>
      <w:r w:rsidR="00FF2C70" w:rsidRPr="008A2C92">
        <w:rPr>
          <w:bCs/>
          <w:sz w:val="20"/>
          <w:szCs w:val="20"/>
        </w:rPr>
        <w:t>)</w:t>
      </w:r>
      <w:r w:rsidR="00FF0E3A" w:rsidRPr="008A2C92">
        <w:rPr>
          <w:bCs/>
          <w:sz w:val="20"/>
          <w:szCs w:val="20"/>
        </w:rPr>
        <w:t xml:space="preserve"> </w:t>
      </w:r>
      <w:r w:rsidR="0063375B" w:rsidRPr="008A2C92">
        <w:rPr>
          <w:bCs/>
          <w:sz w:val="20"/>
          <w:szCs w:val="20"/>
        </w:rPr>
        <w:t>ainsi que</w:t>
      </w:r>
      <w:r w:rsidRPr="008A2C92">
        <w:rPr>
          <w:bCs/>
          <w:sz w:val="20"/>
          <w:szCs w:val="20"/>
        </w:rPr>
        <w:t xml:space="preserve"> par les efforts importants de structuration et de professionnalisation conduits ces dernières années en matière de recherche clinique.</w:t>
      </w:r>
    </w:p>
    <w:p w:rsidR="00335A78" w:rsidRPr="008A2C92" w:rsidRDefault="00335A78" w:rsidP="001B4AEE">
      <w:pPr>
        <w:jc w:val="both"/>
        <w:rPr>
          <w:bCs/>
          <w:sz w:val="20"/>
          <w:szCs w:val="20"/>
        </w:rPr>
      </w:pPr>
    </w:p>
    <w:p w:rsidR="008A6319" w:rsidRPr="008A2C92" w:rsidRDefault="008A6319" w:rsidP="001B4AEE">
      <w:pPr>
        <w:jc w:val="both"/>
        <w:rPr>
          <w:b/>
          <w:sz w:val="20"/>
          <w:szCs w:val="20"/>
        </w:rPr>
      </w:pPr>
      <w:r w:rsidRPr="008A2C92">
        <w:rPr>
          <w:b/>
          <w:sz w:val="20"/>
          <w:szCs w:val="20"/>
        </w:rPr>
        <w:t xml:space="preserve">A propos de </w:t>
      </w:r>
      <w:r w:rsidR="00CB60CE" w:rsidRPr="008A2C92">
        <w:rPr>
          <w:b/>
          <w:sz w:val="20"/>
          <w:szCs w:val="20"/>
        </w:rPr>
        <w:t>l’Inserm</w:t>
      </w:r>
    </w:p>
    <w:p w:rsidR="003C4A8A" w:rsidRPr="008A2C92" w:rsidRDefault="003C4A8A" w:rsidP="001B4AEE">
      <w:pPr>
        <w:autoSpaceDE w:val="0"/>
        <w:autoSpaceDN w:val="0"/>
        <w:adjustRightInd w:val="0"/>
        <w:jc w:val="both"/>
        <w:rPr>
          <w:sz w:val="20"/>
          <w:szCs w:val="20"/>
        </w:rPr>
      </w:pPr>
      <w:r w:rsidRPr="008A2C92">
        <w:rPr>
          <w:sz w:val="20"/>
          <w:szCs w:val="20"/>
        </w:rPr>
        <w:t>Créé en 1964, l’</w:t>
      </w:r>
      <w:r w:rsidRPr="008A2C92">
        <w:rPr>
          <w:bCs/>
          <w:sz w:val="20"/>
          <w:szCs w:val="20"/>
        </w:rPr>
        <w:t>Institut national de la santé et de la recherche médicale (</w:t>
      </w:r>
      <w:r w:rsidRPr="008A2C92">
        <w:rPr>
          <w:sz w:val="20"/>
          <w:szCs w:val="20"/>
        </w:rPr>
        <w:t>Inserm) est un établissement public à caractère scientifique et technologique, placé sous la double tutelle du Ministère de l’Enseignement supérieur et de la recherche et du ministère de la Santé.</w:t>
      </w:r>
    </w:p>
    <w:p w:rsidR="003C4A8A" w:rsidRPr="008A2C92" w:rsidRDefault="003C4A8A" w:rsidP="001B4AEE">
      <w:pPr>
        <w:autoSpaceDE w:val="0"/>
        <w:autoSpaceDN w:val="0"/>
        <w:adjustRightInd w:val="0"/>
        <w:jc w:val="both"/>
        <w:rPr>
          <w:sz w:val="20"/>
          <w:szCs w:val="20"/>
        </w:rPr>
      </w:pPr>
      <w:r w:rsidRPr="008A2C92">
        <w:rPr>
          <w:sz w:val="20"/>
          <w:szCs w:val="20"/>
        </w:rPr>
        <w:t>Ses chercheurs ont pour vocation l’étude de toutes les maladies, des plus fréquentes aux plus rares, à travers leurs travaux de recherches biologiques, médicales et en santé des populations.</w:t>
      </w:r>
    </w:p>
    <w:p w:rsidR="003C4A8A" w:rsidRPr="008A2C92" w:rsidRDefault="003C4A8A" w:rsidP="001B4AEE">
      <w:pPr>
        <w:autoSpaceDE w:val="0"/>
        <w:autoSpaceDN w:val="0"/>
        <w:adjustRightInd w:val="0"/>
        <w:jc w:val="both"/>
        <w:rPr>
          <w:sz w:val="20"/>
          <w:szCs w:val="20"/>
        </w:rPr>
      </w:pPr>
    </w:p>
    <w:p w:rsidR="003C4A8A" w:rsidRPr="008A2C92" w:rsidRDefault="003C4A8A" w:rsidP="001B4AEE">
      <w:pPr>
        <w:autoSpaceDE w:val="0"/>
        <w:autoSpaceDN w:val="0"/>
        <w:adjustRightInd w:val="0"/>
        <w:jc w:val="both"/>
        <w:rPr>
          <w:sz w:val="20"/>
          <w:szCs w:val="20"/>
        </w:rPr>
      </w:pPr>
      <w:r w:rsidRPr="008A2C92">
        <w:rPr>
          <w:sz w:val="20"/>
          <w:szCs w:val="20"/>
        </w:rPr>
        <w:t>Avec un budget 2009 de 834 M€, l'Inserm soutient plus de 300 laboratoires répartis sur le territoire français. L’ensemble des équipes regroupe près de 13 000 chercheurs, ingénieurs, techniciens, gestionnaires…</w:t>
      </w:r>
    </w:p>
    <w:p w:rsidR="003C4A8A" w:rsidRPr="008A2C92" w:rsidRDefault="003C4A8A" w:rsidP="001B4AEE">
      <w:pPr>
        <w:autoSpaceDE w:val="0"/>
        <w:autoSpaceDN w:val="0"/>
        <w:adjustRightInd w:val="0"/>
        <w:jc w:val="both"/>
        <w:rPr>
          <w:sz w:val="20"/>
          <w:szCs w:val="20"/>
        </w:rPr>
      </w:pPr>
    </w:p>
    <w:p w:rsidR="003C4A8A" w:rsidRPr="008A2C92" w:rsidRDefault="003C4A8A" w:rsidP="001B4AEE">
      <w:pPr>
        <w:autoSpaceDE w:val="0"/>
        <w:autoSpaceDN w:val="0"/>
        <w:adjustRightInd w:val="0"/>
        <w:jc w:val="both"/>
        <w:rPr>
          <w:sz w:val="20"/>
          <w:szCs w:val="20"/>
        </w:rPr>
      </w:pPr>
      <w:r w:rsidRPr="008A2C92">
        <w:rPr>
          <w:sz w:val="20"/>
          <w:szCs w:val="20"/>
        </w:rPr>
        <w:t xml:space="preserve">Afin de consolider son rôle de premier plan dans la recherche clinique, l’Institut privilégie la mise en place d’infrastructures dédiées à la recherche clinique et la promotion d’essais cliniques toujours plus innovants. Dans ce contexte, l’Institut a été un élément moteur, avec le soutien du ministère de la Santé, de la création des Centres d’investigation clinique (CIC) au sein des centres hospitaliers universitaires. On dénombrait 53 CIC en 2009. </w:t>
      </w:r>
    </w:p>
    <w:p w:rsidR="003C4A8A" w:rsidRPr="008A2C92" w:rsidRDefault="003C4A8A" w:rsidP="001B4AEE">
      <w:pPr>
        <w:autoSpaceDE w:val="0"/>
        <w:autoSpaceDN w:val="0"/>
        <w:adjustRightInd w:val="0"/>
        <w:jc w:val="both"/>
        <w:rPr>
          <w:sz w:val="20"/>
          <w:szCs w:val="20"/>
        </w:rPr>
      </w:pPr>
    </w:p>
    <w:p w:rsidR="003C4A8A" w:rsidRPr="008A2C92" w:rsidRDefault="003C4A8A" w:rsidP="001B4AEE">
      <w:pPr>
        <w:autoSpaceDE w:val="0"/>
        <w:autoSpaceDN w:val="0"/>
        <w:adjustRightInd w:val="0"/>
        <w:jc w:val="both"/>
        <w:rPr>
          <w:bCs/>
          <w:sz w:val="20"/>
          <w:szCs w:val="20"/>
        </w:rPr>
      </w:pPr>
      <w:r w:rsidRPr="008A2C92">
        <w:rPr>
          <w:bCs/>
          <w:sz w:val="20"/>
          <w:szCs w:val="20"/>
        </w:rPr>
        <w:t>L’Inserm, organisme entièrement dédié à la recherche biologique, médicale et en santé des populations, se positionne sur l’ensemble du parcours allant du laboratoire de recherche au lit du patient. Il organise la coordination nationale de cette recherche au sein d’instituts thématiques :</w:t>
      </w:r>
    </w:p>
    <w:p w:rsidR="003C4A8A" w:rsidRPr="008A2C92" w:rsidRDefault="003C4A8A" w:rsidP="001B4AEE">
      <w:pPr>
        <w:autoSpaceDE w:val="0"/>
        <w:autoSpaceDN w:val="0"/>
        <w:adjustRightInd w:val="0"/>
        <w:jc w:val="both"/>
        <w:rPr>
          <w:sz w:val="20"/>
          <w:szCs w:val="20"/>
        </w:rPr>
      </w:pPr>
    </w:p>
    <w:p w:rsidR="003C4A8A" w:rsidRPr="008A2C92" w:rsidRDefault="003C4A8A" w:rsidP="001B4AEE">
      <w:pPr>
        <w:autoSpaceDE w:val="0"/>
        <w:autoSpaceDN w:val="0"/>
        <w:adjustRightInd w:val="0"/>
        <w:jc w:val="both"/>
        <w:rPr>
          <w:bCs/>
          <w:sz w:val="20"/>
          <w:szCs w:val="20"/>
        </w:rPr>
      </w:pPr>
      <w:r w:rsidRPr="008A2C92">
        <w:rPr>
          <w:bCs/>
          <w:sz w:val="20"/>
          <w:szCs w:val="20"/>
        </w:rPr>
        <w:t>- Cancer</w:t>
      </w:r>
    </w:p>
    <w:p w:rsidR="003C4A8A" w:rsidRPr="008A2C92" w:rsidRDefault="003C4A8A" w:rsidP="001B4AEE">
      <w:pPr>
        <w:autoSpaceDE w:val="0"/>
        <w:autoSpaceDN w:val="0"/>
        <w:adjustRightInd w:val="0"/>
        <w:jc w:val="both"/>
        <w:rPr>
          <w:bCs/>
          <w:sz w:val="20"/>
          <w:szCs w:val="20"/>
        </w:rPr>
      </w:pPr>
      <w:r w:rsidRPr="008A2C92">
        <w:rPr>
          <w:bCs/>
          <w:sz w:val="20"/>
          <w:szCs w:val="20"/>
        </w:rPr>
        <w:t>- Circulation, métabolisme, nutrition</w:t>
      </w:r>
    </w:p>
    <w:p w:rsidR="003C4A8A" w:rsidRPr="008A2C92" w:rsidRDefault="003C4A8A" w:rsidP="001B4AEE">
      <w:pPr>
        <w:autoSpaceDE w:val="0"/>
        <w:autoSpaceDN w:val="0"/>
        <w:adjustRightInd w:val="0"/>
        <w:jc w:val="both"/>
        <w:rPr>
          <w:bCs/>
          <w:sz w:val="20"/>
          <w:szCs w:val="20"/>
        </w:rPr>
      </w:pPr>
      <w:r w:rsidRPr="008A2C92">
        <w:rPr>
          <w:bCs/>
          <w:sz w:val="20"/>
          <w:szCs w:val="20"/>
        </w:rPr>
        <w:t>- Génétique, génomique et bioinformatique</w:t>
      </w:r>
    </w:p>
    <w:p w:rsidR="003C4A8A" w:rsidRPr="008A2C92" w:rsidRDefault="003C4A8A" w:rsidP="001B4AEE">
      <w:pPr>
        <w:autoSpaceDE w:val="0"/>
        <w:autoSpaceDN w:val="0"/>
        <w:adjustRightInd w:val="0"/>
        <w:jc w:val="both"/>
        <w:rPr>
          <w:bCs/>
          <w:sz w:val="20"/>
          <w:szCs w:val="20"/>
        </w:rPr>
      </w:pPr>
      <w:r w:rsidRPr="008A2C92">
        <w:rPr>
          <w:bCs/>
          <w:sz w:val="20"/>
          <w:szCs w:val="20"/>
        </w:rPr>
        <w:t>- Bases moléculaires et structurales du vivant</w:t>
      </w:r>
    </w:p>
    <w:p w:rsidR="003C4A8A" w:rsidRPr="008A2C92" w:rsidRDefault="003C4A8A" w:rsidP="001B4AEE">
      <w:pPr>
        <w:autoSpaceDE w:val="0"/>
        <w:autoSpaceDN w:val="0"/>
        <w:adjustRightInd w:val="0"/>
        <w:jc w:val="both"/>
        <w:rPr>
          <w:bCs/>
          <w:sz w:val="20"/>
          <w:szCs w:val="20"/>
        </w:rPr>
      </w:pPr>
      <w:r w:rsidRPr="008A2C92">
        <w:rPr>
          <w:bCs/>
          <w:sz w:val="20"/>
          <w:szCs w:val="20"/>
        </w:rPr>
        <w:t>- Biologie cellulaire, développement et évolution</w:t>
      </w:r>
    </w:p>
    <w:p w:rsidR="003C4A8A" w:rsidRPr="008A2C92" w:rsidRDefault="003C4A8A" w:rsidP="001B4AEE">
      <w:pPr>
        <w:autoSpaceDE w:val="0"/>
        <w:autoSpaceDN w:val="0"/>
        <w:adjustRightInd w:val="0"/>
        <w:jc w:val="both"/>
        <w:rPr>
          <w:bCs/>
          <w:sz w:val="20"/>
          <w:szCs w:val="20"/>
        </w:rPr>
      </w:pPr>
      <w:r w:rsidRPr="008A2C92">
        <w:rPr>
          <w:bCs/>
          <w:sz w:val="20"/>
          <w:szCs w:val="20"/>
        </w:rPr>
        <w:t>- Immunologie, hématologie, pneumologie</w:t>
      </w:r>
    </w:p>
    <w:p w:rsidR="003C4A8A" w:rsidRPr="008A2C92" w:rsidRDefault="003C4A8A" w:rsidP="001B4AEE">
      <w:pPr>
        <w:autoSpaceDE w:val="0"/>
        <w:autoSpaceDN w:val="0"/>
        <w:adjustRightInd w:val="0"/>
        <w:jc w:val="both"/>
        <w:rPr>
          <w:bCs/>
          <w:sz w:val="20"/>
          <w:szCs w:val="20"/>
        </w:rPr>
      </w:pPr>
      <w:r w:rsidRPr="008A2C92">
        <w:rPr>
          <w:bCs/>
          <w:sz w:val="20"/>
          <w:szCs w:val="20"/>
        </w:rPr>
        <w:t>- Maladies infectieuses</w:t>
      </w:r>
    </w:p>
    <w:p w:rsidR="003C4A8A" w:rsidRPr="008A2C92" w:rsidRDefault="003C4A8A" w:rsidP="001B4AEE">
      <w:pPr>
        <w:autoSpaceDE w:val="0"/>
        <w:autoSpaceDN w:val="0"/>
        <w:adjustRightInd w:val="0"/>
        <w:jc w:val="both"/>
        <w:rPr>
          <w:bCs/>
          <w:sz w:val="20"/>
          <w:szCs w:val="20"/>
        </w:rPr>
      </w:pPr>
      <w:r w:rsidRPr="008A2C92">
        <w:rPr>
          <w:bCs/>
          <w:sz w:val="20"/>
          <w:szCs w:val="20"/>
        </w:rPr>
        <w:t>- Neurosciences, neurologie, psychiatrie</w:t>
      </w:r>
    </w:p>
    <w:p w:rsidR="003C4A8A" w:rsidRPr="008A2C92" w:rsidRDefault="003C4A8A" w:rsidP="001B4AEE">
      <w:pPr>
        <w:autoSpaceDE w:val="0"/>
        <w:autoSpaceDN w:val="0"/>
        <w:adjustRightInd w:val="0"/>
        <w:jc w:val="both"/>
        <w:rPr>
          <w:bCs/>
          <w:sz w:val="20"/>
          <w:szCs w:val="20"/>
        </w:rPr>
      </w:pPr>
      <w:r w:rsidRPr="008A2C92">
        <w:rPr>
          <w:bCs/>
          <w:sz w:val="20"/>
          <w:szCs w:val="20"/>
        </w:rPr>
        <w:t>- Santé publique</w:t>
      </w:r>
    </w:p>
    <w:p w:rsidR="003C4A8A" w:rsidRPr="008A2C92" w:rsidRDefault="003C4A8A" w:rsidP="001B4AEE">
      <w:pPr>
        <w:autoSpaceDE w:val="0"/>
        <w:autoSpaceDN w:val="0"/>
        <w:adjustRightInd w:val="0"/>
        <w:jc w:val="both"/>
        <w:rPr>
          <w:bCs/>
          <w:sz w:val="20"/>
          <w:szCs w:val="20"/>
        </w:rPr>
      </w:pPr>
      <w:r w:rsidRPr="008A2C92">
        <w:rPr>
          <w:bCs/>
          <w:sz w:val="20"/>
          <w:szCs w:val="20"/>
        </w:rPr>
        <w:t>- Technologies pour la santé</w:t>
      </w:r>
    </w:p>
    <w:p w:rsidR="003C4A8A" w:rsidRPr="008A2C92" w:rsidRDefault="003C4A8A" w:rsidP="001B4AEE">
      <w:pPr>
        <w:autoSpaceDE w:val="0"/>
        <w:autoSpaceDN w:val="0"/>
        <w:adjustRightInd w:val="0"/>
        <w:jc w:val="both"/>
        <w:rPr>
          <w:bCs/>
          <w:sz w:val="20"/>
          <w:szCs w:val="20"/>
        </w:rPr>
      </w:pPr>
    </w:p>
    <w:p w:rsidR="003C4A8A" w:rsidRPr="008A2C92" w:rsidRDefault="003C4A8A" w:rsidP="001B4AEE">
      <w:pPr>
        <w:autoSpaceDE w:val="0"/>
        <w:autoSpaceDN w:val="0"/>
        <w:adjustRightInd w:val="0"/>
        <w:jc w:val="both"/>
        <w:rPr>
          <w:sz w:val="20"/>
          <w:szCs w:val="20"/>
        </w:rPr>
      </w:pPr>
      <w:r w:rsidRPr="008A2C92">
        <w:rPr>
          <w:sz w:val="20"/>
          <w:szCs w:val="20"/>
        </w:rPr>
        <w:t>Au niveau européen et international, les laboratoires européens associés (au nombre de 9) et les laboratoires internationaux associés (au nombre de 15) ont pour objectif de structurer, à partir d’une coopération déjà existante entre un laboratoire Inserm et un laboratoire étranger, un programme commun qui n’aurait pu se faire sans cette association. Ce partenariat associe deux laboratoires installés dans des pays différents, ayant chacun à leur tête un directeur et réunis autour d’un projet commun.</w:t>
      </w:r>
    </w:p>
    <w:p w:rsidR="003C4A8A" w:rsidRPr="003C4A8A" w:rsidRDefault="003C4A8A" w:rsidP="001B4AEE">
      <w:pPr>
        <w:autoSpaceDE w:val="0"/>
        <w:autoSpaceDN w:val="0"/>
        <w:adjustRightInd w:val="0"/>
        <w:jc w:val="both"/>
        <w:rPr>
          <w:bCs/>
          <w:sz w:val="20"/>
          <w:szCs w:val="20"/>
        </w:rPr>
      </w:pPr>
    </w:p>
    <w:p w:rsidR="00335A78" w:rsidRDefault="00335A78" w:rsidP="001B4AEE">
      <w:pPr>
        <w:rPr>
          <w:b/>
          <w:sz w:val="20"/>
          <w:szCs w:val="20"/>
        </w:rPr>
      </w:pPr>
      <w:r>
        <w:rPr>
          <w:b/>
          <w:sz w:val="20"/>
          <w:szCs w:val="20"/>
        </w:rPr>
        <w:br w:type="page"/>
      </w:r>
    </w:p>
    <w:p w:rsidR="00335A78" w:rsidRPr="008A2C92" w:rsidRDefault="00335A78" w:rsidP="001B4AEE">
      <w:pPr>
        <w:autoSpaceDE w:val="0"/>
        <w:autoSpaceDN w:val="0"/>
        <w:adjustRightInd w:val="0"/>
        <w:jc w:val="both"/>
        <w:rPr>
          <w:b/>
          <w:sz w:val="20"/>
          <w:szCs w:val="20"/>
        </w:rPr>
      </w:pPr>
      <w:r w:rsidRPr="008A2C92">
        <w:rPr>
          <w:b/>
          <w:sz w:val="20"/>
          <w:szCs w:val="20"/>
        </w:rPr>
        <w:lastRenderedPageBreak/>
        <w:t xml:space="preserve">A propos de l’Université de Nantes </w:t>
      </w:r>
    </w:p>
    <w:p w:rsidR="00335A78" w:rsidRPr="008A2C92" w:rsidRDefault="00335A78" w:rsidP="001B4AEE">
      <w:pPr>
        <w:jc w:val="both"/>
        <w:rPr>
          <w:sz w:val="20"/>
          <w:szCs w:val="20"/>
        </w:rPr>
      </w:pPr>
      <w:r w:rsidRPr="008A2C92">
        <w:rPr>
          <w:sz w:val="20"/>
          <w:szCs w:val="20"/>
        </w:rPr>
        <w:t>L’Université de Nantes, crée en 1961, est une université pluridisciplinaire qui accueille plus de 46 000 étudiants, dont autour de 35 000 en formation initiale parmi lesquels 3 000 étudiants de l’IUFM et 11 000 étudiants ou auditeurs de la Formation continue et de l’Université permanente. Elle emploie près de 4500 personnels (permanents et contractuels) et accueille environ 300 personnels des organismes de recherche (CNRS, Inserm et Inra). Son budget annuel est de l’ordre de 260 millions d’euros dont près de 77 % pour les salaires venant majoritairement de fonds d’Etat. </w:t>
      </w:r>
    </w:p>
    <w:p w:rsidR="00335A78" w:rsidRPr="008A2C92" w:rsidRDefault="00335A78" w:rsidP="001B4AEE">
      <w:pPr>
        <w:jc w:val="both"/>
        <w:rPr>
          <w:sz w:val="20"/>
          <w:szCs w:val="20"/>
        </w:rPr>
      </w:pPr>
    </w:p>
    <w:p w:rsidR="00335A78" w:rsidRPr="008A2C92" w:rsidRDefault="00335A78" w:rsidP="001B4AEE">
      <w:pPr>
        <w:jc w:val="both"/>
        <w:rPr>
          <w:sz w:val="20"/>
          <w:szCs w:val="20"/>
        </w:rPr>
      </w:pPr>
      <w:r w:rsidRPr="008A2C92">
        <w:rPr>
          <w:sz w:val="20"/>
          <w:szCs w:val="20"/>
        </w:rPr>
        <w:t xml:space="preserve">L’Université, qui comprend 21 composantes de formation et de recherche (11 facultés, 6 instituts dont 3 IUT et 1 école d’ingénieur, 1 Observatoire des sciences de l’univers, 1 Centre de Formation continue et l’Université permanente), se développe sur 7 grands campus dont 5 sont situés à Nantes, 1 à St Nazaire et 1 à la Roche sur Yon (340 000m² de surfaces au total). Elle est habilitée à délivrer plus de 250 diplômes différents et totalise 71 laboratoires et structures de recherche accréditées par le Ministère de l’Enseignement Supérieur et de la Recherche, dont 32 sont </w:t>
      </w:r>
      <w:proofErr w:type="spellStart"/>
      <w:r w:rsidRPr="008A2C92">
        <w:rPr>
          <w:sz w:val="20"/>
          <w:szCs w:val="20"/>
        </w:rPr>
        <w:t>co</w:t>
      </w:r>
      <w:proofErr w:type="spellEnd"/>
      <w:r w:rsidRPr="008A2C92">
        <w:rPr>
          <w:sz w:val="20"/>
          <w:szCs w:val="20"/>
        </w:rPr>
        <w:t>-accréditées par des organismes (Inserm, CNRS, Inra).</w:t>
      </w:r>
    </w:p>
    <w:p w:rsidR="00335A78" w:rsidRPr="008A2C92" w:rsidRDefault="00335A78" w:rsidP="001B4AEE">
      <w:pPr>
        <w:jc w:val="both"/>
        <w:rPr>
          <w:sz w:val="20"/>
          <w:szCs w:val="20"/>
        </w:rPr>
      </w:pPr>
      <w:r w:rsidRPr="008A2C92">
        <w:rPr>
          <w:sz w:val="20"/>
          <w:szCs w:val="20"/>
        </w:rPr>
        <w:t> </w:t>
      </w:r>
    </w:p>
    <w:p w:rsidR="00335A78" w:rsidRPr="008A2C92" w:rsidRDefault="00335A78" w:rsidP="001B4AEE">
      <w:pPr>
        <w:jc w:val="both"/>
        <w:rPr>
          <w:sz w:val="20"/>
          <w:szCs w:val="20"/>
        </w:rPr>
      </w:pPr>
      <w:r w:rsidRPr="008A2C92">
        <w:rPr>
          <w:sz w:val="20"/>
          <w:szCs w:val="20"/>
        </w:rPr>
        <w:t>L’Université de Nantes a organisé le paysage de sa recherche en 8 pôles thématiques, en cohérence avec ses 8 Ecoles Doctorales (plus de 250 thèses de Doctorat soutenues chaque année). Parmi eux, le pôle «Biologie, Biotechnologies, Santé » est le plus gros et associe environ 700 agents (enseignants-chercheurs de l’Université, chercheurs hospitalo-universitaires, chercheurs Inserm, CNRS et Inra, praticiens hospitaliers du CHU de Nantes, personnels techniques et administratifs permanents et contractuels, chercheurs contractuels, Doctorants) qui effectuent leurs travaux dans 15 laboratoires accrédités (parmi lesquels 11 UMR et 4 Equipes d’accueil), regroupés et travaillant en synergie dans le cadre des 3 instituts de soins, de recherche et d’enseignement (CHU/Inserm/Université) et de l’Institut fédératif 26 (Université/Inserm).</w:t>
      </w:r>
    </w:p>
    <w:p w:rsidR="00335A78" w:rsidRPr="008A2C92" w:rsidRDefault="00335A78" w:rsidP="001B4AEE">
      <w:pPr>
        <w:jc w:val="both"/>
        <w:rPr>
          <w:sz w:val="20"/>
          <w:szCs w:val="20"/>
        </w:rPr>
      </w:pPr>
      <w:r w:rsidRPr="008A2C92">
        <w:rPr>
          <w:sz w:val="20"/>
          <w:szCs w:val="20"/>
        </w:rPr>
        <w:t> </w:t>
      </w:r>
    </w:p>
    <w:p w:rsidR="00335A78" w:rsidRPr="008A2C92" w:rsidRDefault="00335A78" w:rsidP="001B4AEE">
      <w:pPr>
        <w:jc w:val="both"/>
        <w:rPr>
          <w:sz w:val="20"/>
          <w:szCs w:val="20"/>
        </w:rPr>
      </w:pPr>
      <w:r w:rsidRPr="008A2C92">
        <w:rPr>
          <w:sz w:val="20"/>
          <w:szCs w:val="20"/>
        </w:rPr>
        <w:t>Les recherches de ce domaine concernent 4 grands secteurs définis conjointement avec l’Inserm et le CHU : «Immunologie / Cancérologie / Transplantation », « Cardio-vasculaire / Nutrition / Digestif », « Biomatériaux / </w:t>
      </w:r>
      <w:proofErr w:type="spellStart"/>
      <w:r w:rsidRPr="008A2C92">
        <w:rPr>
          <w:sz w:val="20"/>
          <w:szCs w:val="20"/>
        </w:rPr>
        <w:t>Ostéo</w:t>
      </w:r>
      <w:proofErr w:type="spellEnd"/>
      <w:r w:rsidRPr="008A2C92">
        <w:rPr>
          <w:sz w:val="20"/>
          <w:szCs w:val="20"/>
        </w:rPr>
        <w:t xml:space="preserve">-articulaire / Dentaire » et «Biothérapies / Biotechnologies ». Elles englobent de la recherche fondamentale amont, des recherches technologiques et sont fortement génératrices d’innovation dans les domaines des biotechnologies et des biothérapies avec de nombreuses applications cliniques dans le cadre du CHU de Nantes, ce qui est une spécificité de la recherche en biologie-santé nantaise. Elles s’appuient sur des plateformes fortement mutualisées, implantées au CHU ou dans les locaux de l’Université comme le Cyclotron </w:t>
      </w:r>
      <w:proofErr w:type="spellStart"/>
      <w:r w:rsidRPr="008A2C92">
        <w:rPr>
          <w:sz w:val="20"/>
          <w:szCs w:val="20"/>
        </w:rPr>
        <w:t>Arronax</w:t>
      </w:r>
      <w:proofErr w:type="spellEnd"/>
      <w:r w:rsidRPr="008A2C92">
        <w:rPr>
          <w:sz w:val="20"/>
          <w:szCs w:val="20"/>
        </w:rPr>
        <w:t xml:space="preserve">, (la plupart étant labellisées dans le cadre de </w:t>
      </w:r>
      <w:hyperlink r:id="rId21" w:history="1">
        <w:proofErr w:type="spellStart"/>
        <w:r w:rsidRPr="008A2C92">
          <w:rPr>
            <w:rStyle w:val="Lienhypertexte"/>
            <w:sz w:val="20"/>
            <w:szCs w:val="20"/>
          </w:rPr>
          <w:t>Biogenouest</w:t>
        </w:r>
        <w:proofErr w:type="spellEnd"/>
      </w:hyperlink>
      <w:r w:rsidRPr="008A2C92">
        <w:rPr>
          <w:sz w:val="20"/>
          <w:szCs w:val="20"/>
        </w:rPr>
        <w:t xml:space="preserve">). </w:t>
      </w:r>
    </w:p>
    <w:p w:rsidR="00335A78" w:rsidRDefault="00335A78" w:rsidP="001B4AEE">
      <w:pPr>
        <w:autoSpaceDE w:val="0"/>
        <w:autoSpaceDN w:val="0"/>
        <w:adjustRightInd w:val="0"/>
        <w:jc w:val="both"/>
        <w:rPr>
          <w:bCs/>
          <w:sz w:val="20"/>
          <w:szCs w:val="22"/>
        </w:rPr>
      </w:pPr>
    </w:p>
    <w:p w:rsidR="006144AB" w:rsidRDefault="006144AB" w:rsidP="001B4AEE">
      <w:pPr>
        <w:jc w:val="center"/>
        <w:rPr>
          <w:color w:val="FF0000"/>
          <w:sz w:val="22"/>
        </w:rPr>
      </w:pPr>
    </w:p>
    <w:p w:rsidR="00A22358" w:rsidRDefault="00A55EF4" w:rsidP="001B4AEE">
      <w:pPr>
        <w:jc w:val="center"/>
        <w:rPr>
          <w:b/>
          <w:bCs/>
          <w:sz w:val="18"/>
          <w:szCs w:val="18"/>
        </w:rPr>
      </w:pPr>
      <w:r w:rsidRPr="001169C3">
        <w:rPr>
          <w:b/>
          <w:bCs/>
          <w:sz w:val="18"/>
          <w:szCs w:val="18"/>
        </w:rPr>
        <w:t>Contacts presse</w:t>
      </w:r>
    </w:p>
    <w:p w:rsidR="00A22358" w:rsidRDefault="00A22358" w:rsidP="001B4AEE">
      <w:pPr>
        <w:jc w:val="center"/>
        <w:rPr>
          <w:b/>
          <w:bCs/>
          <w:sz w:val="18"/>
          <w:szCs w:val="18"/>
        </w:rPr>
      </w:pPr>
    </w:p>
    <w:p w:rsidR="00A22358" w:rsidRPr="001169C3" w:rsidRDefault="00A22358" w:rsidP="001B4AEE">
      <w:pPr>
        <w:jc w:val="center"/>
        <w:rPr>
          <w:b/>
          <w:bCs/>
          <w:sz w:val="18"/>
          <w:szCs w:val="18"/>
        </w:rPr>
      </w:pPr>
    </w:p>
    <w:p w:rsidR="00A55EF4" w:rsidRPr="001169C3" w:rsidRDefault="00900C32" w:rsidP="001B4AEE">
      <w:pPr>
        <w:ind w:left="708" w:firstLine="708"/>
        <w:rPr>
          <w:b/>
          <w:bCs/>
          <w:sz w:val="18"/>
          <w:szCs w:val="18"/>
        </w:rPr>
      </w:pPr>
      <w:r w:rsidRPr="001169C3">
        <w:rPr>
          <w:b/>
          <w:bCs/>
          <w:sz w:val="18"/>
          <w:szCs w:val="18"/>
        </w:rPr>
        <w:t>ALIZE RP</w:t>
      </w:r>
      <w:r w:rsidRPr="001169C3">
        <w:rPr>
          <w:b/>
          <w:bCs/>
          <w:sz w:val="18"/>
          <w:szCs w:val="18"/>
        </w:rPr>
        <w:tab/>
      </w:r>
      <w:r w:rsidRPr="001169C3">
        <w:rPr>
          <w:b/>
          <w:bCs/>
          <w:sz w:val="18"/>
          <w:szCs w:val="18"/>
        </w:rPr>
        <w:tab/>
      </w:r>
      <w:r w:rsidRPr="001169C3">
        <w:rPr>
          <w:b/>
          <w:bCs/>
          <w:sz w:val="18"/>
          <w:szCs w:val="18"/>
        </w:rPr>
        <w:tab/>
      </w:r>
      <w:r w:rsidRPr="001169C3">
        <w:rPr>
          <w:b/>
          <w:bCs/>
          <w:sz w:val="18"/>
          <w:szCs w:val="18"/>
        </w:rPr>
        <w:tab/>
      </w:r>
      <w:r w:rsidRPr="001169C3">
        <w:rPr>
          <w:b/>
          <w:bCs/>
          <w:sz w:val="18"/>
          <w:szCs w:val="18"/>
        </w:rPr>
        <w:tab/>
      </w:r>
      <w:r w:rsidR="00A55EF4" w:rsidRPr="001169C3">
        <w:rPr>
          <w:b/>
          <w:bCs/>
          <w:sz w:val="18"/>
          <w:szCs w:val="18"/>
        </w:rPr>
        <w:t>CHU de Nantes</w:t>
      </w:r>
    </w:p>
    <w:p w:rsidR="00A55EF4" w:rsidRPr="00E11F4C" w:rsidRDefault="00900C32" w:rsidP="001B4AEE">
      <w:pPr>
        <w:ind w:left="708" w:firstLine="708"/>
        <w:rPr>
          <w:sz w:val="18"/>
          <w:szCs w:val="18"/>
          <w:lang w:val="it-IT"/>
        </w:rPr>
      </w:pPr>
      <w:r w:rsidRPr="00E11F4C">
        <w:rPr>
          <w:sz w:val="18"/>
          <w:szCs w:val="18"/>
          <w:lang w:val="it-IT"/>
        </w:rPr>
        <w:t>Caroline Carmagnol</w:t>
      </w:r>
      <w:r w:rsidRPr="00E11F4C">
        <w:rPr>
          <w:sz w:val="18"/>
          <w:szCs w:val="18"/>
          <w:lang w:val="it-IT"/>
        </w:rPr>
        <w:tab/>
      </w:r>
      <w:r w:rsidRPr="00E11F4C">
        <w:rPr>
          <w:sz w:val="18"/>
          <w:szCs w:val="18"/>
          <w:lang w:val="it-IT"/>
        </w:rPr>
        <w:tab/>
      </w:r>
      <w:r w:rsidRPr="00E11F4C">
        <w:rPr>
          <w:sz w:val="18"/>
          <w:szCs w:val="18"/>
          <w:lang w:val="it-IT"/>
        </w:rPr>
        <w:tab/>
      </w:r>
      <w:r w:rsidRPr="00E11F4C">
        <w:rPr>
          <w:sz w:val="18"/>
          <w:szCs w:val="18"/>
          <w:lang w:val="it-IT"/>
        </w:rPr>
        <w:tab/>
      </w:r>
      <w:r w:rsidR="00A55EF4" w:rsidRPr="00E11F4C">
        <w:rPr>
          <w:sz w:val="18"/>
          <w:szCs w:val="18"/>
          <w:lang w:val="it-IT"/>
        </w:rPr>
        <w:t>Sandrine Delage</w:t>
      </w:r>
    </w:p>
    <w:p w:rsidR="00A55EF4" w:rsidRPr="00E11F4C" w:rsidRDefault="00900C32" w:rsidP="001B4AEE">
      <w:pPr>
        <w:ind w:left="708" w:firstLine="708"/>
        <w:rPr>
          <w:sz w:val="18"/>
          <w:szCs w:val="18"/>
          <w:lang w:val="it-IT"/>
        </w:rPr>
      </w:pPr>
      <w:r w:rsidRPr="00E11F4C">
        <w:rPr>
          <w:sz w:val="18"/>
          <w:szCs w:val="18"/>
          <w:lang w:val="it-IT"/>
        </w:rPr>
        <w:t>+ 33 6 64 18 99 59</w:t>
      </w:r>
      <w:r w:rsidRPr="00E11F4C">
        <w:rPr>
          <w:sz w:val="18"/>
          <w:szCs w:val="18"/>
          <w:lang w:val="it-IT"/>
        </w:rPr>
        <w:tab/>
      </w:r>
      <w:r w:rsidRPr="00E11F4C">
        <w:rPr>
          <w:sz w:val="18"/>
          <w:szCs w:val="18"/>
          <w:lang w:val="it-IT"/>
        </w:rPr>
        <w:tab/>
      </w:r>
      <w:r w:rsidRPr="00E11F4C">
        <w:rPr>
          <w:sz w:val="18"/>
          <w:szCs w:val="18"/>
          <w:lang w:val="it-IT"/>
        </w:rPr>
        <w:tab/>
      </w:r>
      <w:r w:rsidRPr="00E11F4C">
        <w:rPr>
          <w:sz w:val="18"/>
          <w:szCs w:val="18"/>
          <w:lang w:val="it-IT"/>
        </w:rPr>
        <w:tab/>
      </w:r>
      <w:r w:rsidR="001169C3" w:rsidRPr="00E11F4C">
        <w:rPr>
          <w:sz w:val="18"/>
          <w:szCs w:val="18"/>
          <w:lang w:val="it-IT"/>
        </w:rPr>
        <w:tab/>
      </w:r>
      <w:r w:rsidR="00A55EF4" w:rsidRPr="00E11F4C">
        <w:rPr>
          <w:sz w:val="18"/>
          <w:szCs w:val="18"/>
          <w:lang w:val="it-IT"/>
        </w:rPr>
        <w:t>+ 33 2</w:t>
      </w:r>
      <w:r w:rsidR="00A97D26">
        <w:rPr>
          <w:sz w:val="18"/>
          <w:szCs w:val="18"/>
          <w:lang w:val="it-IT"/>
        </w:rPr>
        <w:t xml:space="preserve"> </w:t>
      </w:r>
      <w:r w:rsidR="00A55EF4" w:rsidRPr="00E11F4C">
        <w:rPr>
          <w:sz w:val="18"/>
          <w:szCs w:val="18"/>
          <w:lang w:val="it-IT"/>
        </w:rPr>
        <w:t>40</w:t>
      </w:r>
      <w:r w:rsidR="00A97D26">
        <w:rPr>
          <w:sz w:val="18"/>
          <w:szCs w:val="18"/>
          <w:lang w:val="it-IT"/>
        </w:rPr>
        <w:t xml:space="preserve"> </w:t>
      </w:r>
      <w:r w:rsidR="00A55EF4" w:rsidRPr="00E11F4C">
        <w:rPr>
          <w:sz w:val="18"/>
          <w:szCs w:val="18"/>
          <w:lang w:val="it-IT"/>
        </w:rPr>
        <w:t>08</w:t>
      </w:r>
      <w:r w:rsidR="00A97D26">
        <w:rPr>
          <w:sz w:val="18"/>
          <w:szCs w:val="18"/>
          <w:lang w:val="it-IT"/>
        </w:rPr>
        <w:t xml:space="preserve"> </w:t>
      </w:r>
      <w:r w:rsidR="00A55EF4" w:rsidRPr="00E11F4C">
        <w:rPr>
          <w:sz w:val="18"/>
          <w:szCs w:val="18"/>
          <w:lang w:val="it-IT"/>
        </w:rPr>
        <w:t>72</w:t>
      </w:r>
      <w:r w:rsidR="00A97D26">
        <w:rPr>
          <w:sz w:val="18"/>
          <w:szCs w:val="18"/>
          <w:lang w:val="it-IT"/>
        </w:rPr>
        <w:t xml:space="preserve"> </w:t>
      </w:r>
      <w:r w:rsidR="00A55EF4" w:rsidRPr="00E11F4C">
        <w:rPr>
          <w:sz w:val="18"/>
          <w:szCs w:val="18"/>
          <w:lang w:val="it-IT"/>
        </w:rPr>
        <w:t>09</w:t>
      </w:r>
    </w:p>
    <w:p w:rsidR="00A55EF4" w:rsidRPr="00A22358" w:rsidRDefault="00736C5A" w:rsidP="001B4AEE">
      <w:pPr>
        <w:ind w:left="708" w:firstLine="708"/>
        <w:rPr>
          <w:sz w:val="18"/>
          <w:szCs w:val="18"/>
          <w:lang w:val="it-IT"/>
        </w:rPr>
      </w:pPr>
      <w:hyperlink r:id="rId22" w:history="1">
        <w:r w:rsidR="00A55EF4" w:rsidRPr="00E11F4C">
          <w:rPr>
            <w:rStyle w:val="Lienhypertexte"/>
            <w:sz w:val="18"/>
            <w:szCs w:val="18"/>
            <w:lang w:val="it-IT"/>
          </w:rPr>
          <w:t>caroline@alizerp.com</w:t>
        </w:r>
      </w:hyperlink>
      <w:r w:rsidR="00A22358">
        <w:rPr>
          <w:sz w:val="18"/>
          <w:szCs w:val="18"/>
          <w:lang w:val="it-IT"/>
        </w:rPr>
        <w:tab/>
      </w:r>
      <w:r w:rsidR="00A22358">
        <w:rPr>
          <w:sz w:val="18"/>
          <w:szCs w:val="18"/>
          <w:lang w:val="it-IT"/>
        </w:rPr>
        <w:tab/>
      </w:r>
      <w:r w:rsidR="00A22358">
        <w:rPr>
          <w:sz w:val="18"/>
          <w:szCs w:val="18"/>
          <w:lang w:val="it-IT"/>
        </w:rPr>
        <w:tab/>
      </w:r>
      <w:r w:rsidR="00A22358">
        <w:rPr>
          <w:sz w:val="18"/>
          <w:szCs w:val="18"/>
          <w:lang w:val="it-IT"/>
        </w:rPr>
        <w:tab/>
      </w:r>
      <w:hyperlink r:id="rId23" w:history="1">
        <w:r w:rsidR="00A55EF4" w:rsidRPr="00E11F4C">
          <w:rPr>
            <w:rStyle w:val="Lienhypertexte"/>
            <w:sz w:val="18"/>
            <w:szCs w:val="18"/>
            <w:lang w:val="it-IT"/>
          </w:rPr>
          <w:t>Sandrine.DELAGE@chu-nantes.fr</w:t>
        </w:r>
      </w:hyperlink>
    </w:p>
    <w:p w:rsidR="00A55EF4" w:rsidRPr="001169C3" w:rsidRDefault="00A55EF4" w:rsidP="001B4AEE">
      <w:pPr>
        <w:ind w:left="708" w:firstLine="708"/>
        <w:rPr>
          <w:sz w:val="18"/>
          <w:szCs w:val="18"/>
          <w:lang w:val="nl-NL"/>
        </w:rPr>
      </w:pPr>
      <w:r w:rsidRPr="001169C3">
        <w:rPr>
          <w:sz w:val="18"/>
          <w:szCs w:val="18"/>
          <w:lang w:val="nl-NL"/>
        </w:rPr>
        <w:t>Juliette Vandenbroucque</w:t>
      </w:r>
    </w:p>
    <w:p w:rsidR="00A22358" w:rsidRDefault="00A55EF4" w:rsidP="001B4AEE">
      <w:pPr>
        <w:ind w:left="708" w:firstLine="708"/>
        <w:rPr>
          <w:sz w:val="18"/>
          <w:szCs w:val="18"/>
          <w:lang w:val="nl-NL"/>
        </w:rPr>
      </w:pPr>
      <w:r w:rsidRPr="001169C3">
        <w:rPr>
          <w:sz w:val="18"/>
          <w:szCs w:val="18"/>
          <w:lang w:val="nl-NL"/>
        </w:rPr>
        <w:t>+</w:t>
      </w:r>
      <w:r w:rsidR="004F102E" w:rsidRPr="001169C3">
        <w:rPr>
          <w:sz w:val="18"/>
          <w:szCs w:val="18"/>
          <w:lang w:val="nl-NL"/>
        </w:rPr>
        <w:t xml:space="preserve"> 33 1 42 68 86 40</w:t>
      </w:r>
    </w:p>
    <w:p w:rsidR="00A55EF4" w:rsidRPr="001169C3" w:rsidRDefault="00736C5A" w:rsidP="001B4AEE">
      <w:pPr>
        <w:ind w:left="708" w:firstLine="708"/>
        <w:rPr>
          <w:sz w:val="18"/>
          <w:szCs w:val="18"/>
          <w:lang w:val="nl-NL"/>
        </w:rPr>
      </w:pPr>
      <w:hyperlink r:id="rId24" w:history="1">
        <w:r w:rsidR="001169C3" w:rsidRPr="001169C3">
          <w:rPr>
            <w:rStyle w:val="Lienhypertexte"/>
            <w:sz w:val="18"/>
            <w:szCs w:val="18"/>
            <w:lang w:val="nl-NL"/>
          </w:rPr>
          <w:t>juliette@alizerp.com</w:t>
        </w:r>
      </w:hyperlink>
      <w:r w:rsidR="001169C3" w:rsidRPr="001169C3">
        <w:rPr>
          <w:sz w:val="18"/>
          <w:szCs w:val="18"/>
          <w:lang w:val="nl-NL"/>
        </w:rPr>
        <w:t xml:space="preserve"> </w:t>
      </w:r>
    </w:p>
    <w:p w:rsidR="006A4DB3" w:rsidRPr="00824BF1" w:rsidRDefault="006A4DB3" w:rsidP="001B4AEE">
      <w:pPr>
        <w:rPr>
          <w:sz w:val="20"/>
          <w:szCs w:val="20"/>
        </w:rPr>
      </w:pPr>
      <w:r w:rsidRPr="00824BF1">
        <w:rPr>
          <w:sz w:val="20"/>
          <w:szCs w:val="20"/>
        </w:rPr>
        <w:t xml:space="preserve"> </w:t>
      </w:r>
    </w:p>
    <w:p w:rsidR="00A22358" w:rsidRPr="006A4DB3" w:rsidRDefault="00A22358" w:rsidP="001B4AEE">
      <w:pPr>
        <w:jc w:val="both"/>
        <w:rPr>
          <w:sz w:val="20"/>
          <w:szCs w:val="20"/>
        </w:rPr>
      </w:pPr>
    </w:p>
    <w:sectPr w:rsidR="00A22358" w:rsidRPr="006A4DB3" w:rsidSect="00ED325C">
      <w:footerReference w:type="even" r:id="rId25"/>
      <w:footerReference w:type="default" r:id="rId26"/>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D2" w:rsidRDefault="00DC6DD2">
      <w:r>
        <w:separator/>
      </w:r>
    </w:p>
  </w:endnote>
  <w:endnote w:type="continuationSeparator" w:id="0">
    <w:p w:rsidR="00DC6DD2" w:rsidRDefault="00DC6D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D2" w:rsidRDefault="00736C5A" w:rsidP="00887856">
    <w:pPr>
      <w:pStyle w:val="Pieddepage"/>
      <w:framePr w:wrap="around" w:vAnchor="text" w:hAnchor="margin" w:xAlign="center" w:y="1"/>
      <w:rPr>
        <w:rStyle w:val="Numrodepage"/>
      </w:rPr>
    </w:pPr>
    <w:r>
      <w:rPr>
        <w:rStyle w:val="Numrodepage"/>
      </w:rPr>
      <w:fldChar w:fldCharType="begin"/>
    </w:r>
    <w:r w:rsidR="00DC6DD2">
      <w:rPr>
        <w:rStyle w:val="Numrodepage"/>
      </w:rPr>
      <w:instrText xml:space="preserve">PAGE  </w:instrText>
    </w:r>
    <w:r>
      <w:rPr>
        <w:rStyle w:val="Numrodepage"/>
      </w:rPr>
      <w:fldChar w:fldCharType="end"/>
    </w:r>
  </w:p>
  <w:p w:rsidR="00DC6DD2" w:rsidRDefault="00DC6DD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D2" w:rsidRPr="008A2C92" w:rsidRDefault="00736C5A" w:rsidP="00887856">
    <w:pPr>
      <w:pStyle w:val="Pieddepage"/>
      <w:framePr w:wrap="around" w:vAnchor="text" w:hAnchor="margin" w:xAlign="center" w:y="1"/>
      <w:rPr>
        <w:rStyle w:val="Numrodepage"/>
        <w:sz w:val="16"/>
        <w:szCs w:val="16"/>
      </w:rPr>
    </w:pPr>
    <w:r w:rsidRPr="008A2C92">
      <w:rPr>
        <w:rStyle w:val="Numrodepage"/>
        <w:sz w:val="16"/>
        <w:szCs w:val="16"/>
      </w:rPr>
      <w:fldChar w:fldCharType="begin"/>
    </w:r>
    <w:r w:rsidR="00DC6DD2" w:rsidRPr="008A2C92">
      <w:rPr>
        <w:rStyle w:val="Numrodepage"/>
        <w:sz w:val="16"/>
        <w:szCs w:val="16"/>
      </w:rPr>
      <w:instrText xml:space="preserve">PAGE  </w:instrText>
    </w:r>
    <w:r w:rsidRPr="008A2C92">
      <w:rPr>
        <w:rStyle w:val="Numrodepage"/>
        <w:sz w:val="16"/>
        <w:szCs w:val="16"/>
      </w:rPr>
      <w:fldChar w:fldCharType="separate"/>
    </w:r>
    <w:r w:rsidR="00180325">
      <w:rPr>
        <w:rStyle w:val="Numrodepage"/>
        <w:noProof/>
        <w:sz w:val="16"/>
        <w:szCs w:val="16"/>
      </w:rPr>
      <w:t>5</w:t>
    </w:r>
    <w:r w:rsidRPr="008A2C92">
      <w:rPr>
        <w:rStyle w:val="Numrodepage"/>
        <w:sz w:val="16"/>
        <w:szCs w:val="16"/>
      </w:rPr>
      <w:fldChar w:fldCharType="end"/>
    </w:r>
    <w:r w:rsidR="00DC6DD2" w:rsidRPr="008A2C92">
      <w:rPr>
        <w:rStyle w:val="Numrodepage"/>
        <w:sz w:val="16"/>
        <w:szCs w:val="16"/>
      </w:rPr>
      <w:t>/4</w:t>
    </w:r>
  </w:p>
  <w:p w:rsidR="00DC6DD2" w:rsidRDefault="00DC6DD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D2" w:rsidRDefault="00DC6DD2">
      <w:r>
        <w:separator/>
      </w:r>
    </w:p>
  </w:footnote>
  <w:footnote w:type="continuationSeparator" w:id="0">
    <w:p w:rsidR="00DC6DD2" w:rsidRDefault="00DC6DD2">
      <w:r>
        <w:continuationSeparator/>
      </w:r>
    </w:p>
  </w:footnote>
  <w:footnote w:id="1">
    <w:p w:rsidR="00DC6DD2" w:rsidRDefault="00DC6DD2" w:rsidP="00DC6DD2">
      <w:r>
        <w:rPr>
          <w:rStyle w:val="Appelnotedebasdep"/>
        </w:rPr>
        <w:footnoteRef/>
      </w:r>
      <w:r>
        <w:t xml:space="preserve"> </w:t>
      </w:r>
      <w:r w:rsidRPr="00646199">
        <w:rPr>
          <w:sz w:val="18"/>
          <w:szCs w:val="18"/>
        </w:rPr>
        <w:t>L’</w:t>
      </w:r>
      <w:hyperlink r:id="rId1" w:history="1">
        <w:r w:rsidRPr="00646199">
          <w:rPr>
            <w:rStyle w:val="Lienhypertexte"/>
            <w:sz w:val="18"/>
            <w:szCs w:val="18"/>
          </w:rPr>
          <w:t>ITUN</w:t>
        </w:r>
      </w:hyperlink>
      <w:r w:rsidRPr="00646199">
        <w:rPr>
          <w:sz w:val="18"/>
          <w:szCs w:val="18"/>
        </w:rPr>
        <w:t xml:space="preserve"> est sous la triple tutelle du </w:t>
      </w:r>
      <w:hyperlink r:id="rId2" w:history="1">
        <w:r w:rsidRPr="00646199">
          <w:rPr>
            <w:rStyle w:val="Lienhypertexte"/>
            <w:sz w:val="18"/>
            <w:szCs w:val="18"/>
          </w:rPr>
          <w:t>CHU de Nantes</w:t>
        </w:r>
      </w:hyperlink>
      <w:r w:rsidRPr="00646199">
        <w:rPr>
          <w:sz w:val="18"/>
          <w:szCs w:val="18"/>
        </w:rPr>
        <w:t>, de l'</w:t>
      </w:r>
      <w:hyperlink r:id="rId3" w:history="1">
        <w:r w:rsidRPr="00646199">
          <w:rPr>
            <w:rStyle w:val="Lienhypertexte"/>
            <w:sz w:val="18"/>
            <w:szCs w:val="18"/>
          </w:rPr>
          <w:t>Université de Nantes</w:t>
        </w:r>
      </w:hyperlink>
      <w:r w:rsidRPr="00646199">
        <w:rPr>
          <w:sz w:val="18"/>
          <w:szCs w:val="18"/>
        </w:rPr>
        <w:t xml:space="preserve"> et de </w:t>
      </w:r>
      <w:r w:rsidRPr="00DE57E2">
        <w:rPr>
          <w:sz w:val="20"/>
          <w:szCs w:val="20"/>
        </w:rPr>
        <w:t>l'</w:t>
      </w:r>
      <w:hyperlink r:id="rId4" w:history="1">
        <w:r w:rsidR="00DE57E2" w:rsidRPr="00DE57E2">
          <w:rPr>
            <w:rStyle w:val="Lienhypertexte"/>
            <w:sz w:val="20"/>
            <w:szCs w:val="20"/>
          </w:rPr>
          <w:t>Inserm</w:t>
        </w:r>
      </w:hyperlink>
    </w:p>
  </w:footnote>
  <w:footnote w:id="2">
    <w:p w:rsidR="00DC6DD2" w:rsidRDefault="00DC6DD2" w:rsidP="00DC6DD2">
      <w:pPr>
        <w:rPr>
          <w:sz w:val="18"/>
          <w:szCs w:val="18"/>
        </w:rPr>
      </w:pPr>
      <w:r>
        <w:rPr>
          <w:rStyle w:val="Appelnotedebasdep"/>
        </w:rPr>
        <w:footnoteRef/>
      </w:r>
      <w:r>
        <w:t xml:space="preserve"> </w:t>
      </w:r>
      <w:r w:rsidRPr="00646199">
        <w:rPr>
          <w:sz w:val="18"/>
          <w:szCs w:val="18"/>
        </w:rPr>
        <w:t>Source : CHU de Nantes au 15 Mars 2010</w:t>
      </w:r>
    </w:p>
    <w:p w:rsidR="00DC6DD2" w:rsidRDefault="00DC6DD2" w:rsidP="00DC6DD2">
      <w:pPr>
        <w:pStyle w:val="Notedebasdepage"/>
      </w:pPr>
    </w:p>
  </w:footnote>
  <w:footnote w:id="3">
    <w:p w:rsidR="00DC6DD2" w:rsidRPr="00DC6DD2" w:rsidRDefault="00DC6DD2">
      <w:pPr>
        <w:pStyle w:val="Notedebasdepage"/>
      </w:pPr>
      <w:r>
        <w:rPr>
          <w:rStyle w:val="Appelnotedebasdep"/>
        </w:rPr>
        <w:footnoteRef/>
      </w:r>
      <w:r w:rsidRPr="00DC6DD2">
        <w:rPr>
          <w:sz w:val="18"/>
          <w:szCs w:val="18"/>
        </w:rPr>
        <w:t xml:space="preserve"> Source: Agence de Biomédecine, 2009 – Données </w:t>
      </w:r>
      <w:r>
        <w:rPr>
          <w:sz w:val="18"/>
          <w:szCs w:val="18"/>
        </w:rPr>
        <w:t xml:space="preserve">CRISTAL, </w:t>
      </w:r>
      <w:r w:rsidRPr="00DC6DD2">
        <w:rPr>
          <w:sz w:val="18"/>
          <w:szCs w:val="18"/>
        </w:rPr>
        <w:t>31 Mars</w:t>
      </w:r>
      <w:r>
        <w:rPr>
          <w:sz w:val="18"/>
          <w:szCs w:val="18"/>
        </w:rPr>
        <w:t xml:space="preserve"> 2009</w:t>
      </w:r>
    </w:p>
  </w:footnote>
  <w:footnote w:id="4">
    <w:p w:rsidR="00DC6DD2" w:rsidRPr="00DC6DD2" w:rsidRDefault="00DC6DD2" w:rsidP="00DC6DD2">
      <w:pPr>
        <w:pStyle w:val="Notedebasdepage"/>
      </w:pPr>
      <w:r>
        <w:rPr>
          <w:rStyle w:val="Appelnotedebasdep"/>
        </w:rPr>
        <w:footnoteRef/>
      </w:r>
      <w:r>
        <w:t xml:space="preserve"> </w:t>
      </w:r>
      <w:r w:rsidRPr="00DC6DD2">
        <w:rPr>
          <w:sz w:val="18"/>
          <w:szCs w:val="18"/>
        </w:rPr>
        <w:t xml:space="preserve">Source: </w:t>
      </w:r>
      <w:r w:rsidR="00D60178" w:rsidRPr="00DC6DD2">
        <w:rPr>
          <w:sz w:val="18"/>
          <w:szCs w:val="18"/>
        </w:rPr>
        <w:t>Hôpital</w:t>
      </w:r>
      <w:r w:rsidRPr="00DC6DD2">
        <w:rPr>
          <w:sz w:val="18"/>
          <w:szCs w:val="18"/>
        </w:rPr>
        <w:t xml:space="preserve"> Européen Georges Pompidou, 2009</w:t>
      </w:r>
    </w:p>
    <w:p w:rsidR="00DC6DD2" w:rsidRDefault="00DC6DD2">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3838"/>
    <w:multiLevelType w:val="hybridMultilevel"/>
    <w:tmpl w:val="E61A032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5CE63AA"/>
    <w:multiLevelType w:val="hybridMultilevel"/>
    <w:tmpl w:val="8F7AC2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DC68AF"/>
    <w:multiLevelType w:val="hybridMultilevel"/>
    <w:tmpl w:val="7A44E7C6"/>
    <w:lvl w:ilvl="0" w:tplc="32184758">
      <w:numFmt w:val="bullet"/>
      <w:lvlText w:val="-"/>
      <w:lvlJc w:val="left"/>
      <w:pPr>
        <w:ind w:left="720" w:hanging="360"/>
      </w:pPr>
      <w:rPr>
        <w:rFonts w:ascii="Times New Roman" w:eastAsia="SimSu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61403E"/>
    <w:multiLevelType w:val="hybridMultilevel"/>
    <w:tmpl w:val="DE0AE29C"/>
    <w:lvl w:ilvl="0" w:tplc="4052EA24">
      <w:start w:val="1"/>
      <w:numFmt w:val="decimal"/>
      <w:lvlText w:val="%1"/>
      <w:lvlJc w:val="left"/>
      <w:pPr>
        <w:ind w:left="720" w:hanging="360"/>
      </w:pPr>
      <w:rPr>
        <w:rFonts w:ascii="Times New Roman" w:eastAsia="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7437B59"/>
    <w:multiLevelType w:val="hybridMultilevel"/>
    <w:tmpl w:val="2AF8CF50"/>
    <w:lvl w:ilvl="0" w:tplc="0E1C954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03D5978"/>
    <w:multiLevelType w:val="hybridMultilevel"/>
    <w:tmpl w:val="3FFAEB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4E03593"/>
    <w:multiLevelType w:val="hybridMultilevel"/>
    <w:tmpl w:val="A636F62C"/>
    <w:lvl w:ilvl="0" w:tplc="040C000D">
      <w:start w:val="1"/>
      <w:numFmt w:val="bullet"/>
      <w:lvlText w:val=""/>
      <w:lvlJc w:val="left"/>
      <w:pPr>
        <w:ind w:left="758" w:hanging="360"/>
      </w:pPr>
      <w:rPr>
        <w:rFonts w:ascii="Wingdings" w:hAnsi="Wingdings"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7">
    <w:nsid w:val="392E4965"/>
    <w:multiLevelType w:val="hybridMultilevel"/>
    <w:tmpl w:val="0AF265EE"/>
    <w:lvl w:ilvl="0" w:tplc="040C0001">
      <w:start w:val="1"/>
      <w:numFmt w:val="bullet"/>
      <w:lvlText w:val=""/>
      <w:lvlJc w:val="left"/>
      <w:pPr>
        <w:tabs>
          <w:tab w:val="num" w:pos="783"/>
        </w:tabs>
        <w:ind w:left="783" w:hanging="360"/>
      </w:pPr>
      <w:rPr>
        <w:rFonts w:ascii="Symbol" w:hAnsi="Symbol" w:hint="default"/>
      </w:rPr>
    </w:lvl>
    <w:lvl w:ilvl="1" w:tplc="040C0003" w:tentative="1">
      <w:start w:val="1"/>
      <w:numFmt w:val="bullet"/>
      <w:lvlText w:val="o"/>
      <w:lvlJc w:val="left"/>
      <w:pPr>
        <w:tabs>
          <w:tab w:val="num" w:pos="1503"/>
        </w:tabs>
        <w:ind w:left="1503" w:hanging="360"/>
      </w:pPr>
      <w:rPr>
        <w:rFonts w:ascii="Courier New" w:hAnsi="Courier New" w:cs="Courier New" w:hint="default"/>
      </w:rPr>
    </w:lvl>
    <w:lvl w:ilvl="2" w:tplc="040C0005" w:tentative="1">
      <w:start w:val="1"/>
      <w:numFmt w:val="bullet"/>
      <w:lvlText w:val=""/>
      <w:lvlJc w:val="left"/>
      <w:pPr>
        <w:tabs>
          <w:tab w:val="num" w:pos="2223"/>
        </w:tabs>
        <w:ind w:left="2223" w:hanging="360"/>
      </w:pPr>
      <w:rPr>
        <w:rFonts w:ascii="Wingdings" w:hAnsi="Wingdings" w:hint="default"/>
      </w:rPr>
    </w:lvl>
    <w:lvl w:ilvl="3" w:tplc="040C0001" w:tentative="1">
      <w:start w:val="1"/>
      <w:numFmt w:val="bullet"/>
      <w:lvlText w:val=""/>
      <w:lvlJc w:val="left"/>
      <w:pPr>
        <w:tabs>
          <w:tab w:val="num" w:pos="2943"/>
        </w:tabs>
        <w:ind w:left="2943" w:hanging="360"/>
      </w:pPr>
      <w:rPr>
        <w:rFonts w:ascii="Symbol" w:hAnsi="Symbol" w:hint="default"/>
      </w:rPr>
    </w:lvl>
    <w:lvl w:ilvl="4" w:tplc="040C0003" w:tentative="1">
      <w:start w:val="1"/>
      <w:numFmt w:val="bullet"/>
      <w:lvlText w:val="o"/>
      <w:lvlJc w:val="left"/>
      <w:pPr>
        <w:tabs>
          <w:tab w:val="num" w:pos="3663"/>
        </w:tabs>
        <w:ind w:left="3663" w:hanging="360"/>
      </w:pPr>
      <w:rPr>
        <w:rFonts w:ascii="Courier New" w:hAnsi="Courier New" w:cs="Courier New" w:hint="default"/>
      </w:rPr>
    </w:lvl>
    <w:lvl w:ilvl="5" w:tplc="040C0005" w:tentative="1">
      <w:start w:val="1"/>
      <w:numFmt w:val="bullet"/>
      <w:lvlText w:val=""/>
      <w:lvlJc w:val="left"/>
      <w:pPr>
        <w:tabs>
          <w:tab w:val="num" w:pos="4383"/>
        </w:tabs>
        <w:ind w:left="4383" w:hanging="360"/>
      </w:pPr>
      <w:rPr>
        <w:rFonts w:ascii="Wingdings" w:hAnsi="Wingdings" w:hint="default"/>
      </w:rPr>
    </w:lvl>
    <w:lvl w:ilvl="6" w:tplc="040C0001" w:tentative="1">
      <w:start w:val="1"/>
      <w:numFmt w:val="bullet"/>
      <w:lvlText w:val=""/>
      <w:lvlJc w:val="left"/>
      <w:pPr>
        <w:tabs>
          <w:tab w:val="num" w:pos="5103"/>
        </w:tabs>
        <w:ind w:left="5103" w:hanging="360"/>
      </w:pPr>
      <w:rPr>
        <w:rFonts w:ascii="Symbol" w:hAnsi="Symbol" w:hint="default"/>
      </w:rPr>
    </w:lvl>
    <w:lvl w:ilvl="7" w:tplc="040C0003" w:tentative="1">
      <w:start w:val="1"/>
      <w:numFmt w:val="bullet"/>
      <w:lvlText w:val="o"/>
      <w:lvlJc w:val="left"/>
      <w:pPr>
        <w:tabs>
          <w:tab w:val="num" w:pos="5823"/>
        </w:tabs>
        <w:ind w:left="5823" w:hanging="360"/>
      </w:pPr>
      <w:rPr>
        <w:rFonts w:ascii="Courier New" w:hAnsi="Courier New" w:cs="Courier New" w:hint="default"/>
      </w:rPr>
    </w:lvl>
    <w:lvl w:ilvl="8" w:tplc="040C0005" w:tentative="1">
      <w:start w:val="1"/>
      <w:numFmt w:val="bullet"/>
      <w:lvlText w:val=""/>
      <w:lvlJc w:val="left"/>
      <w:pPr>
        <w:tabs>
          <w:tab w:val="num" w:pos="6543"/>
        </w:tabs>
        <w:ind w:left="6543" w:hanging="360"/>
      </w:pPr>
      <w:rPr>
        <w:rFonts w:ascii="Wingdings" w:hAnsi="Wingdings" w:hint="default"/>
      </w:rPr>
    </w:lvl>
  </w:abstractNum>
  <w:abstractNum w:abstractNumId="8">
    <w:nsid w:val="3AAA5EB3"/>
    <w:multiLevelType w:val="hybridMultilevel"/>
    <w:tmpl w:val="4A96EF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D774880"/>
    <w:multiLevelType w:val="hybridMultilevel"/>
    <w:tmpl w:val="3FAE58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7332001"/>
    <w:multiLevelType w:val="hybridMultilevel"/>
    <w:tmpl w:val="10FAA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EA47F80"/>
    <w:multiLevelType w:val="hybridMultilevel"/>
    <w:tmpl w:val="39F48FBA"/>
    <w:lvl w:ilvl="0" w:tplc="040C0001">
      <w:start w:val="1"/>
      <w:numFmt w:val="bullet"/>
      <w:lvlText w:val=""/>
      <w:lvlJc w:val="left"/>
      <w:pPr>
        <w:tabs>
          <w:tab w:val="num" w:pos="1503"/>
        </w:tabs>
        <w:ind w:left="1503" w:hanging="360"/>
      </w:pPr>
      <w:rPr>
        <w:rFonts w:ascii="Symbol" w:hAnsi="Symbol" w:hint="default"/>
      </w:rPr>
    </w:lvl>
    <w:lvl w:ilvl="1" w:tplc="040C0003" w:tentative="1">
      <w:start w:val="1"/>
      <w:numFmt w:val="bullet"/>
      <w:lvlText w:val="o"/>
      <w:lvlJc w:val="left"/>
      <w:pPr>
        <w:tabs>
          <w:tab w:val="num" w:pos="2223"/>
        </w:tabs>
        <w:ind w:left="2223" w:hanging="360"/>
      </w:pPr>
      <w:rPr>
        <w:rFonts w:ascii="Courier New" w:hAnsi="Courier New" w:cs="Courier New" w:hint="default"/>
      </w:rPr>
    </w:lvl>
    <w:lvl w:ilvl="2" w:tplc="040C0005" w:tentative="1">
      <w:start w:val="1"/>
      <w:numFmt w:val="bullet"/>
      <w:lvlText w:val=""/>
      <w:lvlJc w:val="left"/>
      <w:pPr>
        <w:tabs>
          <w:tab w:val="num" w:pos="2943"/>
        </w:tabs>
        <w:ind w:left="2943" w:hanging="360"/>
      </w:pPr>
      <w:rPr>
        <w:rFonts w:ascii="Wingdings" w:hAnsi="Wingdings" w:hint="default"/>
      </w:rPr>
    </w:lvl>
    <w:lvl w:ilvl="3" w:tplc="040C0001" w:tentative="1">
      <w:start w:val="1"/>
      <w:numFmt w:val="bullet"/>
      <w:lvlText w:val=""/>
      <w:lvlJc w:val="left"/>
      <w:pPr>
        <w:tabs>
          <w:tab w:val="num" w:pos="3663"/>
        </w:tabs>
        <w:ind w:left="3663" w:hanging="360"/>
      </w:pPr>
      <w:rPr>
        <w:rFonts w:ascii="Symbol" w:hAnsi="Symbol" w:hint="default"/>
      </w:rPr>
    </w:lvl>
    <w:lvl w:ilvl="4" w:tplc="040C0003" w:tentative="1">
      <w:start w:val="1"/>
      <w:numFmt w:val="bullet"/>
      <w:lvlText w:val="o"/>
      <w:lvlJc w:val="left"/>
      <w:pPr>
        <w:tabs>
          <w:tab w:val="num" w:pos="4383"/>
        </w:tabs>
        <w:ind w:left="4383" w:hanging="360"/>
      </w:pPr>
      <w:rPr>
        <w:rFonts w:ascii="Courier New" w:hAnsi="Courier New" w:cs="Courier New" w:hint="default"/>
      </w:rPr>
    </w:lvl>
    <w:lvl w:ilvl="5" w:tplc="040C0005" w:tentative="1">
      <w:start w:val="1"/>
      <w:numFmt w:val="bullet"/>
      <w:lvlText w:val=""/>
      <w:lvlJc w:val="left"/>
      <w:pPr>
        <w:tabs>
          <w:tab w:val="num" w:pos="5103"/>
        </w:tabs>
        <w:ind w:left="5103" w:hanging="360"/>
      </w:pPr>
      <w:rPr>
        <w:rFonts w:ascii="Wingdings" w:hAnsi="Wingdings" w:hint="default"/>
      </w:rPr>
    </w:lvl>
    <w:lvl w:ilvl="6" w:tplc="040C0001" w:tentative="1">
      <w:start w:val="1"/>
      <w:numFmt w:val="bullet"/>
      <w:lvlText w:val=""/>
      <w:lvlJc w:val="left"/>
      <w:pPr>
        <w:tabs>
          <w:tab w:val="num" w:pos="5823"/>
        </w:tabs>
        <w:ind w:left="5823" w:hanging="360"/>
      </w:pPr>
      <w:rPr>
        <w:rFonts w:ascii="Symbol" w:hAnsi="Symbol" w:hint="default"/>
      </w:rPr>
    </w:lvl>
    <w:lvl w:ilvl="7" w:tplc="040C0003" w:tentative="1">
      <w:start w:val="1"/>
      <w:numFmt w:val="bullet"/>
      <w:lvlText w:val="o"/>
      <w:lvlJc w:val="left"/>
      <w:pPr>
        <w:tabs>
          <w:tab w:val="num" w:pos="6543"/>
        </w:tabs>
        <w:ind w:left="6543" w:hanging="360"/>
      </w:pPr>
      <w:rPr>
        <w:rFonts w:ascii="Courier New" w:hAnsi="Courier New" w:cs="Courier New" w:hint="default"/>
      </w:rPr>
    </w:lvl>
    <w:lvl w:ilvl="8" w:tplc="040C0005" w:tentative="1">
      <w:start w:val="1"/>
      <w:numFmt w:val="bullet"/>
      <w:lvlText w:val=""/>
      <w:lvlJc w:val="left"/>
      <w:pPr>
        <w:tabs>
          <w:tab w:val="num" w:pos="7263"/>
        </w:tabs>
        <w:ind w:left="7263" w:hanging="360"/>
      </w:pPr>
      <w:rPr>
        <w:rFonts w:ascii="Wingdings" w:hAnsi="Wingdings" w:hint="default"/>
      </w:rPr>
    </w:lvl>
  </w:abstractNum>
  <w:num w:numId="1">
    <w:abstractNumId w:val="0"/>
  </w:num>
  <w:num w:numId="2">
    <w:abstractNumId w:val="10"/>
  </w:num>
  <w:num w:numId="3">
    <w:abstractNumId w:val="11"/>
  </w:num>
  <w:num w:numId="4">
    <w:abstractNumId w:val="7"/>
  </w:num>
  <w:num w:numId="5">
    <w:abstractNumId w:val="2"/>
  </w:num>
  <w:num w:numId="6">
    <w:abstractNumId w:val="1"/>
  </w:num>
  <w:num w:numId="7">
    <w:abstractNumId w:val="9"/>
  </w:num>
  <w:num w:numId="8">
    <w:abstractNumId w:val="6"/>
  </w:num>
  <w:num w:numId="9">
    <w:abstractNumId w:val="5"/>
  </w:num>
  <w:num w:numId="10">
    <w:abstractNumId w:val="3"/>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applyBreakingRules/>
    <w:useFELayout/>
  </w:compat>
  <w:rsids>
    <w:rsidRoot w:val="00A6532D"/>
    <w:rsid w:val="000019E4"/>
    <w:rsid w:val="00005E99"/>
    <w:rsid w:val="00016E71"/>
    <w:rsid w:val="00025C0D"/>
    <w:rsid w:val="00032271"/>
    <w:rsid w:val="00033FEF"/>
    <w:rsid w:val="00037087"/>
    <w:rsid w:val="000410AF"/>
    <w:rsid w:val="000473C9"/>
    <w:rsid w:val="00056CF5"/>
    <w:rsid w:val="000601E0"/>
    <w:rsid w:val="00066152"/>
    <w:rsid w:val="00067E32"/>
    <w:rsid w:val="00072D1C"/>
    <w:rsid w:val="0008013A"/>
    <w:rsid w:val="00087813"/>
    <w:rsid w:val="00093A9A"/>
    <w:rsid w:val="000B04EC"/>
    <w:rsid w:val="000C2E6B"/>
    <w:rsid w:val="000D38DD"/>
    <w:rsid w:val="000E0787"/>
    <w:rsid w:val="000E2DF7"/>
    <w:rsid w:val="00101468"/>
    <w:rsid w:val="00112AEA"/>
    <w:rsid w:val="001169C3"/>
    <w:rsid w:val="00124839"/>
    <w:rsid w:val="00132A87"/>
    <w:rsid w:val="00134990"/>
    <w:rsid w:val="0014447C"/>
    <w:rsid w:val="00146F27"/>
    <w:rsid w:val="0015067C"/>
    <w:rsid w:val="001549A7"/>
    <w:rsid w:val="00156381"/>
    <w:rsid w:val="001709CF"/>
    <w:rsid w:val="00171E89"/>
    <w:rsid w:val="001735A4"/>
    <w:rsid w:val="001749BC"/>
    <w:rsid w:val="00180325"/>
    <w:rsid w:val="001825BA"/>
    <w:rsid w:val="00185493"/>
    <w:rsid w:val="001B0ADB"/>
    <w:rsid w:val="001B1480"/>
    <w:rsid w:val="001B4AEE"/>
    <w:rsid w:val="001C1AF6"/>
    <w:rsid w:val="001C246F"/>
    <w:rsid w:val="001F5D52"/>
    <w:rsid w:val="002104AC"/>
    <w:rsid w:val="00223F1C"/>
    <w:rsid w:val="00224771"/>
    <w:rsid w:val="0024516F"/>
    <w:rsid w:val="00260FEF"/>
    <w:rsid w:val="0026587A"/>
    <w:rsid w:val="002742B0"/>
    <w:rsid w:val="00290092"/>
    <w:rsid w:val="00290D92"/>
    <w:rsid w:val="00292890"/>
    <w:rsid w:val="002A7A5B"/>
    <w:rsid w:val="002C3BAE"/>
    <w:rsid w:val="002C6128"/>
    <w:rsid w:val="002C7F35"/>
    <w:rsid w:val="002E02EE"/>
    <w:rsid w:val="00317466"/>
    <w:rsid w:val="003175A9"/>
    <w:rsid w:val="003176CB"/>
    <w:rsid w:val="00335A78"/>
    <w:rsid w:val="003417CD"/>
    <w:rsid w:val="00343D05"/>
    <w:rsid w:val="00345994"/>
    <w:rsid w:val="003475DE"/>
    <w:rsid w:val="00352708"/>
    <w:rsid w:val="0035728B"/>
    <w:rsid w:val="00357AA0"/>
    <w:rsid w:val="00362614"/>
    <w:rsid w:val="003662ED"/>
    <w:rsid w:val="00380B07"/>
    <w:rsid w:val="00381CA6"/>
    <w:rsid w:val="00387CF8"/>
    <w:rsid w:val="003924FA"/>
    <w:rsid w:val="003962A2"/>
    <w:rsid w:val="003B1263"/>
    <w:rsid w:val="003C0CCC"/>
    <w:rsid w:val="003C4A8A"/>
    <w:rsid w:val="003C4C3D"/>
    <w:rsid w:val="003D26B6"/>
    <w:rsid w:val="003D3403"/>
    <w:rsid w:val="003D40DB"/>
    <w:rsid w:val="003E4CB9"/>
    <w:rsid w:val="003F0AF7"/>
    <w:rsid w:val="003F266C"/>
    <w:rsid w:val="003F350A"/>
    <w:rsid w:val="003F387E"/>
    <w:rsid w:val="004016F6"/>
    <w:rsid w:val="00406326"/>
    <w:rsid w:val="004175C8"/>
    <w:rsid w:val="00417FC7"/>
    <w:rsid w:val="0047534D"/>
    <w:rsid w:val="00475E18"/>
    <w:rsid w:val="004929BE"/>
    <w:rsid w:val="004B2D04"/>
    <w:rsid w:val="004B5898"/>
    <w:rsid w:val="004C1093"/>
    <w:rsid w:val="004D2942"/>
    <w:rsid w:val="004E1F76"/>
    <w:rsid w:val="004E2ACB"/>
    <w:rsid w:val="004F102E"/>
    <w:rsid w:val="004F76F2"/>
    <w:rsid w:val="00503EEE"/>
    <w:rsid w:val="00507DCA"/>
    <w:rsid w:val="00517C71"/>
    <w:rsid w:val="00521BBA"/>
    <w:rsid w:val="00533F89"/>
    <w:rsid w:val="00534980"/>
    <w:rsid w:val="00541145"/>
    <w:rsid w:val="00546799"/>
    <w:rsid w:val="005518E0"/>
    <w:rsid w:val="00582106"/>
    <w:rsid w:val="0058700D"/>
    <w:rsid w:val="00591FA6"/>
    <w:rsid w:val="0059206B"/>
    <w:rsid w:val="00595845"/>
    <w:rsid w:val="00596A56"/>
    <w:rsid w:val="005B0FA1"/>
    <w:rsid w:val="005C60EE"/>
    <w:rsid w:val="005D3CF8"/>
    <w:rsid w:val="005E1794"/>
    <w:rsid w:val="005E2212"/>
    <w:rsid w:val="005E2A09"/>
    <w:rsid w:val="005F6A64"/>
    <w:rsid w:val="0061118C"/>
    <w:rsid w:val="006144AB"/>
    <w:rsid w:val="00615E0D"/>
    <w:rsid w:val="00627A1A"/>
    <w:rsid w:val="0063375B"/>
    <w:rsid w:val="0063512E"/>
    <w:rsid w:val="0064116B"/>
    <w:rsid w:val="00643D5C"/>
    <w:rsid w:val="00646199"/>
    <w:rsid w:val="006475B1"/>
    <w:rsid w:val="006636E3"/>
    <w:rsid w:val="006656BC"/>
    <w:rsid w:val="00670115"/>
    <w:rsid w:val="006712FD"/>
    <w:rsid w:val="0067293D"/>
    <w:rsid w:val="00681241"/>
    <w:rsid w:val="00687674"/>
    <w:rsid w:val="00693B05"/>
    <w:rsid w:val="006A0B72"/>
    <w:rsid w:val="006A4DB3"/>
    <w:rsid w:val="006A69EB"/>
    <w:rsid w:val="006B70FF"/>
    <w:rsid w:val="006D4ADD"/>
    <w:rsid w:val="006E1CE0"/>
    <w:rsid w:val="006E7511"/>
    <w:rsid w:val="006F6E94"/>
    <w:rsid w:val="0070214C"/>
    <w:rsid w:val="0070217E"/>
    <w:rsid w:val="00715191"/>
    <w:rsid w:val="00717468"/>
    <w:rsid w:val="00720327"/>
    <w:rsid w:val="007262E3"/>
    <w:rsid w:val="007318E6"/>
    <w:rsid w:val="00734553"/>
    <w:rsid w:val="00736C5A"/>
    <w:rsid w:val="00740E1C"/>
    <w:rsid w:val="00743A2D"/>
    <w:rsid w:val="0074546F"/>
    <w:rsid w:val="0075071B"/>
    <w:rsid w:val="007651B6"/>
    <w:rsid w:val="00771473"/>
    <w:rsid w:val="007A7C36"/>
    <w:rsid w:val="007B36A3"/>
    <w:rsid w:val="007C55CD"/>
    <w:rsid w:val="007D3708"/>
    <w:rsid w:val="007D448E"/>
    <w:rsid w:val="0080574B"/>
    <w:rsid w:val="00820684"/>
    <w:rsid w:val="00824BF1"/>
    <w:rsid w:val="00834504"/>
    <w:rsid w:val="00863522"/>
    <w:rsid w:val="00883FC7"/>
    <w:rsid w:val="00885481"/>
    <w:rsid w:val="00885A6E"/>
    <w:rsid w:val="00887856"/>
    <w:rsid w:val="008A1A2D"/>
    <w:rsid w:val="008A2C92"/>
    <w:rsid w:val="008A3B76"/>
    <w:rsid w:val="008A6319"/>
    <w:rsid w:val="008A7AE4"/>
    <w:rsid w:val="008B080E"/>
    <w:rsid w:val="008B48DA"/>
    <w:rsid w:val="008B5558"/>
    <w:rsid w:val="008B6B84"/>
    <w:rsid w:val="008D0848"/>
    <w:rsid w:val="00900C32"/>
    <w:rsid w:val="009055BD"/>
    <w:rsid w:val="0091710D"/>
    <w:rsid w:val="009237C8"/>
    <w:rsid w:val="00924BE6"/>
    <w:rsid w:val="00927712"/>
    <w:rsid w:val="009445F3"/>
    <w:rsid w:val="00970094"/>
    <w:rsid w:val="00973D52"/>
    <w:rsid w:val="00977B1D"/>
    <w:rsid w:val="009817AA"/>
    <w:rsid w:val="009A36A1"/>
    <w:rsid w:val="009C2C5D"/>
    <w:rsid w:val="00A0700C"/>
    <w:rsid w:val="00A138F5"/>
    <w:rsid w:val="00A17CA1"/>
    <w:rsid w:val="00A21529"/>
    <w:rsid w:val="00A22358"/>
    <w:rsid w:val="00A22631"/>
    <w:rsid w:val="00A23087"/>
    <w:rsid w:val="00A33EBB"/>
    <w:rsid w:val="00A3633C"/>
    <w:rsid w:val="00A37573"/>
    <w:rsid w:val="00A41C8E"/>
    <w:rsid w:val="00A46A00"/>
    <w:rsid w:val="00A55EF4"/>
    <w:rsid w:val="00A56114"/>
    <w:rsid w:val="00A56AED"/>
    <w:rsid w:val="00A6107D"/>
    <w:rsid w:val="00A6532D"/>
    <w:rsid w:val="00A70DB6"/>
    <w:rsid w:val="00A721E7"/>
    <w:rsid w:val="00A7437F"/>
    <w:rsid w:val="00A83290"/>
    <w:rsid w:val="00A84E63"/>
    <w:rsid w:val="00A871C8"/>
    <w:rsid w:val="00A97D26"/>
    <w:rsid w:val="00AA67FC"/>
    <w:rsid w:val="00AB585E"/>
    <w:rsid w:val="00AB6057"/>
    <w:rsid w:val="00AC2D0F"/>
    <w:rsid w:val="00AC4F7A"/>
    <w:rsid w:val="00AC5D26"/>
    <w:rsid w:val="00AD76E6"/>
    <w:rsid w:val="00B311A5"/>
    <w:rsid w:val="00B3245C"/>
    <w:rsid w:val="00B44316"/>
    <w:rsid w:val="00B52ED4"/>
    <w:rsid w:val="00B66CEE"/>
    <w:rsid w:val="00B87A5D"/>
    <w:rsid w:val="00B9033A"/>
    <w:rsid w:val="00BA74F3"/>
    <w:rsid w:val="00BB0459"/>
    <w:rsid w:val="00BD4514"/>
    <w:rsid w:val="00BE7705"/>
    <w:rsid w:val="00BF2B90"/>
    <w:rsid w:val="00BF532B"/>
    <w:rsid w:val="00BF7898"/>
    <w:rsid w:val="00C155B4"/>
    <w:rsid w:val="00C23119"/>
    <w:rsid w:val="00C24314"/>
    <w:rsid w:val="00C332C0"/>
    <w:rsid w:val="00C33D9F"/>
    <w:rsid w:val="00C56EC0"/>
    <w:rsid w:val="00C84713"/>
    <w:rsid w:val="00C9339E"/>
    <w:rsid w:val="00C95B79"/>
    <w:rsid w:val="00CB2AFF"/>
    <w:rsid w:val="00CB60CE"/>
    <w:rsid w:val="00CC75D1"/>
    <w:rsid w:val="00CD3DD6"/>
    <w:rsid w:val="00CE33F1"/>
    <w:rsid w:val="00CF0FC2"/>
    <w:rsid w:val="00CF23B3"/>
    <w:rsid w:val="00CF29B4"/>
    <w:rsid w:val="00D03AC5"/>
    <w:rsid w:val="00D0587C"/>
    <w:rsid w:val="00D1406C"/>
    <w:rsid w:val="00D1661C"/>
    <w:rsid w:val="00D200C3"/>
    <w:rsid w:val="00D30AB5"/>
    <w:rsid w:val="00D31DDD"/>
    <w:rsid w:val="00D329A9"/>
    <w:rsid w:val="00D32DCB"/>
    <w:rsid w:val="00D405B3"/>
    <w:rsid w:val="00D45102"/>
    <w:rsid w:val="00D515D7"/>
    <w:rsid w:val="00D51ADF"/>
    <w:rsid w:val="00D54D23"/>
    <w:rsid w:val="00D556A5"/>
    <w:rsid w:val="00D5659B"/>
    <w:rsid w:val="00D60178"/>
    <w:rsid w:val="00D61729"/>
    <w:rsid w:val="00D72EB6"/>
    <w:rsid w:val="00D9189F"/>
    <w:rsid w:val="00DA235E"/>
    <w:rsid w:val="00DA2FBD"/>
    <w:rsid w:val="00DA5331"/>
    <w:rsid w:val="00DC6DD2"/>
    <w:rsid w:val="00DD05E3"/>
    <w:rsid w:val="00DD4BCB"/>
    <w:rsid w:val="00DE356C"/>
    <w:rsid w:val="00DE3E68"/>
    <w:rsid w:val="00DE57E2"/>
    <w:rsid w:val="00DF0A88"/>
    <w:rsid w:val="00DF3AE4"/>
    <w:rsid w:val="00E01C89"/>
    <w:rsid w:val="00E07A87"/>
    <w:rsid w:val="00E11F4C"/>
    <w:rsid w:val="00E24DDE"/>
    <w:rsid w:val="00E3100C"/>
    <w:rsid w:val="00E33B62"/>
    <w:rsid w:val="00E343B0"/>
    <w:rsid w:val="00E35BA6"/>
    <w:rsid w:val="00E42CE2"/>
    <w:rsid w:val="00E4527C"/>
    <w:rsid w:val="00E54F18"/>
    <w:rsid w:val="00E83DF7"/>
    <w:rsid w:val="00E86DDB"/>
    <w:rsid w:val="00E910F1"/>
    <w:rsid w:val="00E9264F"/>
    <w:rsid w:val="00E9614C"/>
    <w:rsid w:val="00EB00D3"/>
    <w:rsid w:val="00EB434C"/>
    <w:rsid w:val="00ED325C"/>
    <w:rsid w:val="00EF0FD1"/>
    <w:rsid w:val="00F01105"/>
    <w:rsid w:val="00F0245D"/>
    <w:rsid w:val="00F23050"/>
    <w:rsid w:val="00F36F80"/>
    <w:rsid w:val="00F41751"/>
    <w:rsid w:val="00F44974"/>
    <w:rsid w:val="00F54885"/>
    <w:rsid w:val="00F55556"/>
    <w:rsid w:val="00F65F25"/>
    <w:rsid w:val="00F7138F"/>
    <w:rsid w:val="00F7170B"/>
    <w:rsid w:val="00F7556C"/>
    <w:rsid w:val="00F77A98"/>
    <w:rsid w:val="00F82F0D"/>
    <w:rsid w:val="00F91055"/>
    <w:rsid w:val="00F97F29"/>
    <w:rsid w:val="00FA2D37"/>
    <w:rsid w:val="00FA74C3"/>
    <w:rsid w:val="00FB7B51"/>
    <w:rsid w:val="00FC1763"/>
    <w:rsid w:val="00FD2392"/>
    <w:rsid w:val="00FD475F"/>
    <w:rsid w:val="00FD4D2B"/>
    <w:rsid w:val="00FE5E18"/>
    <w:rsid w:val="00FF0E3A"/>
    <w:rsid w:val="00FF2C7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34C"/>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4B2D04"/>
    <w:rPr>
      <w:color w:val="0000FF"/>
      <w:u w:val="single"/>
    </w:rPr>
  </w:style>
  <w:style w:type="paragraph" w:customStyle="1" w:styleId="NormalWeb1">
    <w:name w:val="Normal (Web)1"/>
    <w:basedOn w:val="Normal"/>
    <w:rsid w:val="00DD4BCB"/>
    <w:pPr>
      <w:spacing w:before="100" w:beforeAutospacing="1" w:after="100" w:afterAutospacing="1"/>
      <w:jc w:val="both"/>
    </w:pPr>
  </w:style>
  <w:style w:type="paragraph" w:customStyle="1" w:styleId="resume1">
    <w:name w:val="resume1"/>
    <w:basedOn w:val="Normal"/>
    <w:rsid w:val="00DD4BCB"/>
    <w:pPr>
      <w:spacing w:before="100" w:beforeAutospacing="1" w:after="100" w:afterAutospacing="1"/>
      <w:jc w:val="both"/>
    </w:pPr>
    <w:rPr>
      <w:i/>
      <w:iCs/>
      <w:color w:val="E2017B"/>
    </w:rPr>
  </w:style>
  <w:style w:type="character" w:styleId="lev">
    <w:name w:val="Strong"/>
    <w:basedOn w:val="Policepardfaut"/>
    <w:uiPriority w:val="22"/>
    <w:qFormat/>
    <w:rsid w:val="00DD4BCB"/>
    <w:rPr>
      <w:b/>
      <w:bCs/>
    </w:rPr>
  </w:style>
  <w:style w:type="character" w:styleId="Accentuation">
    <w:name w:val="Emphasis"/>
    <w:basedOn w:val="Policepardfaut"/>
    <w:qFormat/>
    <w:rsid w:val="00820684"/>
    <w:rPr>
      <w:i/>
      <w:iCs/>
    </w:rPr>
  </w:style>
  <w:style w:type="paragraph" w:styleId="Notedebasdepage">
    <w:name w:val="footnote text"/>
    <w:basedOn w:val="Normal"/>
    <w:link w:val="NotedebasdepageCar"/>
    <w:semiHidden/>
    <w:rsid w:val="006A69EB"/>
    <w:rPr>
      <w:sz w:val="20"/>
      <w:szCs w:val="20"/>
    </w:rPr>
  </w:style>
  <w:style w:type="character" w:styleId="Appelnotedebasdep">
    <w:name w:val="footnote reference"/>
    <w:basedOn w:val="Policepardfaut"/>
    <w:semiHidden/>
    <w:rsid w:val="006A69EB"/>
    <w:rPr>
      <w:vertAlign w:val="superscript"/>
    </w:rPr>
  </w:style>
  <w:style w:type="character" w:styleId="Marquedecommentaire">
    <w:name w:val="annotation reference"/>
    <w:basedOn w:val="Policepardfaut"/>
    <w:semiHidden/>
    <w:rsid w:val="00595845"/>
    <w:rPr>
      <w:sz w:val="16"/>
      <w:szCs w:val="16"/>
    </w:rPr>
  </w:style>
  <w:style w:type="paragraph" w:styleId="Commentaire">
    <w:name w:val="annotation text"/>
    <w:basedOn w:val="Normal"/>
    <w:semiHidden/>
    <w:rsid w:val="00595845"/>
    <w:rPr>
      <w:sz w:val="20"/>
      <w:szCs w:val="20"/>
    </w:rPr>
  </w:style>
  <w:style w:type="paragraph" w:styleId="Objetducommentaire">
    <w:name w:val="annotation subject"/>
    <w:basedOn w:val="Commentaire"/>
    <w:next w:val="Commentaire"/>
    <w:semiHidden/>
    <w:rsid w:val="00595845"/>
    <w:rPr>
      <w:b/>
      <w:bCs/>
    </w:rPr>
  </w:style>
  <w:style w:type="paragraph" w:styleId="Textedebulles">
    <w:name w:val="Balloon Text"/>
    <w:basedOn w:val="Normal"/>
    <w:semiHidden/>
    <w:rsid w:val="00595845"/>
    <w:rPr>
      <w:rFonts w:ascii="Tahoma" w:hAnsi="Tahoma"/>
      <w:sz w:val="16"/>
      <w:szCs w:val="16"/>
    </w:rPr>
  </w:style>
  <w:style w:type="character" w:styleId="CitationHTML">
    <w:name w:val="HTML Cite"/>
    <w:basedOn w:val="Policepardfaut"/>
    <w:rsid w:val="00DE3E68"/>
    <w:rPr>
      <w:i/>
      <w:iCs/>
    </w:rPr>
  </w:style>
  <w:style w:type="paragraph" w:styleId="NormalWeb">
    <w:name w:val="Normal (Web)"/>
    <w:basedOn w:val="Normal"/>
    <w:rsid w:val="00D45102"/>
    <w:pPr>
      <w:spacing w:before="100" w:beforeAutospacing="1" w:after="100" w:afterAutospacing="1"/>
    </w:pPr>
  </w:style>
  <w:style w:type="paragraph" w:styleId="Pieddepage">
    <w:name w:val="footer"/>
    <w:basedOn w:val="Normal"/>
    <w:rsid w:val="00887856"/>
    <w:pPr>
      <w:tabs>
        <w:tab w:val="center" w:pos="4536"/>
        <w:tab w:val="right" w:pos="9072"/>
      </w:tabs>
    </w:pPr>
  </w:style>
  <w:style w:type="character" w:styleId="Numrodepage">
    <w:name w:val="page number"/>
    <w:basedOn w:val="Policepardfaut"/>
    <w:rsid w:val="00887856"/>
  </w:style>
  <w:style w:type="character" w:styleId="Lienhypertextesuivivisit">
    <w:name w:val="FollowedHyperlink"/>
    <w:basedOn w:val="Policepardfaut"/>
    <w:uiPriority w:val="99"/>
    <w:semiHidden/>
    <w:unhideWhenUsed/>
    <w:rsid w:val="00BF2B90"/>
    <w:rPr>
      <w:color w:val="800080"/>
      <w:u w:val="single"/>
    </w:rPr>
  </w:style>
  <w:style w:type="table" w:styleId="Grilledutableau">
    <w:name w:val="Table Grid"/>
    <w:basedOn w:val="TableauNormal"/>
    <w:uiPriority w:val="59"/>
    <w:rsid w:val="005870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D03AC5"/>
    <w:rPr>
      <w:rFonts w:ascii="Consolas" w:eastAsia="Calibri" w:hAnsi="Consolas"/>
      <w:sz w:val="21"/>
      <w:szCs w:val="21"/>
      <w:lang w:eastAsia="en-US"/>
    </w:rPr>
  </w:style>
  <w:style w:type="character" w:customStyle="1" w:styleId="TextebrutCar">
    <w:name w:val="Texte brut Car"/>
    <w:basedOn w:val="Policepardfaut"/>
    <w:link w:val="Textebrut"/>
    <w:uiPriority w:val="99"/>
    <w:rsid w:val="00D03AC5"/>
    <w:rPr>
      <w:rFonts w:ascii="Consolas" w:eastAsia="Calibri" w:hAnsi="Consolas"/>
      <w:sz w:val="21"/>
      <w:szCs w:val="21"/>
      <w:lang w:eastAsia="en-US"/>
    </w:rPr>
  </w:style>
  <w:style w:type="paragraph" w:styleId="En-tte">
    <w:name w:val="header"/>
    <w:basedOn w:val="Normal"/>
    <w:link w:val="En-tteCar"/>
    <w:uiPriority w:val="99"/>
    <w:semiHidden/>
    <w:unhideWhenUsed/>
    <w:rsid w:val="00CF23B3"/>
    <w:pPr>
      <w:tabs>
        <w:tab w:val="center" w:pos="4536"/>
        <w:tab w:val="right" w:pos="9072"/>
      </w:tabs>
    </w:pPr>
  </w:style>
  <w:style w:type="character" w:customStyle="1" w:styleId="En-tteCar">
    <w:name w:val="En-tête Car"/>
    <w:basedOn w:val="Policepardfaut"/>
    <w:link w:val="En-tte"/>
    <w:uiPriority w:val="99"/>
    <w:semiHidden/>
    <w:rsid w:val="00CF23B3"/>
    <w:rPr>
      <w:sz w:val="24"/>
      <w:szCs w:val="24"/>
      <w:lang w:eastAsia="zh-CN"/>
    </w:rPr>
  </w:style>
  <w:style w:type="paragraph" w:customStyle="1" w:styleId="Default">
    <w:name w:val="Default"/>
    <w:rsid w:val="00A22358"/>
    <w:pPr>
      <w:autoSpaceDE w:val="0"/>
      <w:autoSpaceDN w:val="0"/>
      <w:adjustRightInd w:val="0"/>
    </w:pPr>
    <w:rPr>
      <w:rFonts w:ascii="Tahoma" w:eastAsia="Calibri" w:hAnsi="Tahoma" w:cs="Tahoma"/>
      <w:color w:val="000000"/>
      <w:sz w:val="24"/>
      <w:szCs w:val="24"/>
      <w:lang w:eastAsia="en-US"/>
    </w:rPr>
  </w:style>
  <w:style w:type="character" w:customStyle="1" w:styleId="avert">
    <w:name w:val="avert"/>
    <w:basedOn w:val="Policepardfaut"/>
    <w:rsid w:val="006A4DB3"/>
  </w:style>
  <w:style w:type="paragraph" w:styleId="Corpsdetexte">
    <w:name w:val="Body Text"/>
    <w:basedOn w:val="Normal"/>
    <w:link w:val="CorpsdetexteCar"/>
    <w:semiHidden/>
    <w:rsid w:val="006A4DB3"/>
    <w:pPr>
      <w:tabs>
        <w:tab w:val="left" w:pos="9360"/>
      </w:tabs>
    </w:pPr>
    <w:rPr>
      <w:rFonts w:ascii="Tahoma" w:eastAsia="Times New Roman" w:hAnsi="Tahoma" w:cs="Tahoma"/>
      <w:b/>
      <w:color w:val="0070C0"/>
      <w:sz w:val="28"/>
      <w:szCs w:val="28"/>
      <w:lang w:eastAsia="fr-FR"/>
    </w:rPr>
  </w:style>
  <w:style w:type="character" w:customStyle="1" w:styleId="CorpsdetexteCar">
    <w:name w:val="Corps de texte Car"/>
    <w:basedOn w:val="Policepardfaut"/>
    <w:link w:val="Corpsdetexte"/>
    <w:semiHidden/>
    <w:rsid w:val="006A4DB3"/>
    <w:rPr>
      <w:rFonts w:ascii="Tahoma" w:eastAsia="Times New Roman" w:hAnsi="Tahoma" w:cs="Tahoma"/>
      <w:b/>
      <w:color w:val="0070C0"/>
      <w:sz w:val="28"/>
      <w:szCs w:val="28"/>
    </w:rPr>
  </w:style>
  <w:style w:type="paragraph" w:styleId="Paragraphedeliste">
    <w:name w:val="List Paragraph"/>
    <w:basedOn w:val="Normal"/>
    <w:uiPriority w:val="34"/>
    <w:qFormat/>
    <w:rsid w:val="006A4DB3"/>
    <w:pPr>
      <w:ind w:left="720"/>
      <w:contextualSpacing/>
    </w:pPr>
  </w:style>
  <w:style w:type="character" w:customStyle="1" w:styleId="NotedebasdepageCar">
    <w:name w:val="Note de bas de page Car"/>
    <w:basedOn w:val="Policepardfaut"/>
    <w:link w:val="Notedebasdepage"/>
    <w:semiHidden/>
    <w:rsid w:val="00DC6DD2"/>
    <w:rPr>
      <w:lang w:eastAsia="zh-CN"/>
    </w:rPr>
  </w:style>
</w:styles>
</file>

<file path=word/webSettings.xml><?xml version="1.0" encoding="utf-8"?>
<w:webSettings xmlns:r="http://schemas.openxmlformats.org/officeDocument/2006/relationships" xmlns:w="http://schemas.openxmlformats.org/wordprocessingml/2006/main">
  <w:divs>
    <w:div w:id="539899021">
      <w:bodyDiv w:val="1"/>
      <w:marLeft w:val="0"/>
      <w:marRight w:val="0"/>
      <w:marTop w:val="0"/>
      <w:marBottom w:val="0"/>
      <w:divBdr>
        <w:top w:val="none" w:sz="0" w:space="0" w:color="auto"/>
        <w:left w:val="none" w:sz="0" w:space="0" w:color="auto"/>
        <w:bottom w:val="none" w:sz="0" w:space="0" w:color="auto"/>
        <w:right w:val="none" w:sz="0" w:space="0" w:color="auto"/>
      </w:divBdr>
    </w:div>
    <w:div w:id="630133701">
      <w:bodyDiv w:val="1"/>
      <w:marLeft w:val="0"/>
      <w:marRight w:val="0"/>
      <w:marTop w:val="0"/>
      <w:marBottom w:val="0"/>
      <w:divBdr>
        <w:top w:val="none" w:sz="0" w:space="0" w:color="auto"/>
        <w:left w:val="none" w:sz="0" w:space="0" w:color="auto"/>
        <w:bottom w:val="none" w:sz="0" w:space="0" w:color="auto"/>
        <w:right w:val="none" w:sz="0" w:space="0" w:color="auto"/>
      </w:divBdr>
    </w:div>
    <w:div w:id="676999042">
      <w:bodyDiv w:val="1"/>
      <w:marLeft w:val="0"/>
      <w:marRight w:val="0"/>
      <w:marTop w:val="0"/>
      <w:marBottom w:val="0"/>
      <w:divBdr>
        <w:top w:val="none" w:sz="0" w:space="0" w:color="auto"/>
        <w:left w:val="none" w:sz="0" w:space="0" w:color="auto"/>
        <w:bottom w:val="none" w:sz="0" w:space="0" w:color="auto"/>
        <w:right w:val="none" w:sz="0" w:space="0" w:color="auto"/>
      </w:divBdr>
      <w:divsChild>
        <w:div w:id="289871624">
          <w:marLeft w:val="0"/>
          <w:marRight w:val="0"/>
          <w:marTop w:val="0"/>
          <w:marBottom w:val="0"/>
          <w:divBdr>
            <w:top w:val="none" w:sz="0" w:space="0" w:color="auto"/>
            <w:left w:val="none" w:sz="0" w:space="0" w:color="auto"/>
            <w:bottom w:val="none" w:sz="0" w:space="0" w:color="auto"/>
            <w:right w:val="none" w:sz="0" w:space="0" w:color="auto"/>
          </w:divBdr>
          <w:divsChild>
            <w:div w:id="715549180">
              <w:marLeft w:val="0"/>
              <w:marRight w:val="0"/>
              <w:marTop w:val="0"/>
              <w:marBottom w:val="0"/>
              <w:divBdr>
                <w:top w:val="none" w:sz="0" w:space="0" w:color="auto"/>
                <w:left w:val="none" w:sz="0" w:space="0" w:color="auto"/>
                <w:bottom w:val="none" w:sz="0" w:space="0" w:color="auto"/>
                <w:right w:val="none" w:sz="0" w:space="0" w:color="auto"/>
              </w:divBdr>
              <w:divsChild>
                <w:div w:id="1941840723">
                  <w:marLeft w:val="0"/>
                  <w:marRight w:val="0"/>
                  <w:marTop w:val="0"/>
                  <w:marBottom w:val="0"/>
                  <w:divBdr>
                    <w:top w:val="none" w:sz="0" w:space="0" w:color="auto"/>
                    <w:left w:val="none" w:sz="0" w:space="0" w:color="auto"/>
                    <w:bottom w:val="none" w:sz="0" w:space="0" w:color="auto"/>
                    <w:right w:val="none" w:sz="0" w:space="0" w:color="auto"/>
                  </w:divBdr>
                  <w:divsChild>
                    <w:div w:id="1787655129">
                      <w:marLeft w:val="0"/>
                      <w:marRight w:val="0"/>
                      <w:marTop w:val="0"/>
                      <w:marBottom w:val="0"/>
                      <w:divBdr>
                        <w:top w:val="none" w:sz="0" w:space="0" w:color="auto"/>
                        <w:left w:val="none" w:sz="0" w:space="0" w:color="auto"/>
                        <w:bottom w:val="none" w:sz="0" w:space="0" w:color="auto"/>
                        <w:right w:val="none" w:sz="0" w:space="0" w:color="auto"/>
                      </w:divBdr>
                      <w:divsChild>
                        <w:div w:id="12151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293590">
      <w:bodyDiv w:val="1"/>
      <w:marLeft w:val="0"/>
      <w:marRight w:val="0"/>
      <w:marTop w:val="0"/>
      <w:marBottom w:val="0"/>
      <w:divBdr>
        <w:top w:val="none" w:sz="0" w:space="0" w:color="auto"/>
        <w:left w:val="none" w:sz="0" w:space="0" w:color="auto"/>
        <w:bottom w:val="none" w:sz="0" w:space="0" w:color="auto"/>
        <w:right w:val="none" w:sz="0" w:space="0" w:color="auto"/>
      </w:divBdr>
    </w:div>
    <w:div w:id="1386950608">
      <w:bodyDiv w:val="1"/>
      <w:marLeft w:val="0"/>
      <w:marRight w:val="0"/>
      <w:marTop w:val="0"/>
      <w:marBottom w:val="0"/>
      <w:divBdr>
        <w:top w:val="none" w:sz="0" w:space="0" w:color="auto"/>
        <w:left w:val="none" w:sz="0" w:space="0" w:color="auto"/>
        <w:bottom w:val="none" w:sz="0" w:space="0" w:color="auto"/>
        <w:right w:val="none" w:sz="0" w:space="0" w:color="auto"/>
      </w:divBdr>
      <w:divsChild>
        <w:div w:id="901062370">
          <w:marLeft w:val="100"/>
          <w:marRight w:val="63"/>
          <w:marTop w:val="0"/>
          <w:marBottom w:val="0"/>
          <w:divBdr>
            <w:top w:val="none" w:sz="0" w:space="0" w:color="auto"/>
            <w:left w:val="none" w:sz="0" w:space="0" w:color="auto"/>
            <w:bottom w:val="none" w:sz="0" w:space="0" w:color="auto"/>
            <w:right w:val="none" w:sz="0" w:space="0" w:color="auto"/>
          </w:divBdr>
          <w:divsChild>
            <w:div w:id="48581268">
              <w:marLeft w:val="0"/>
              <w:marRight w:val="0"/>
              <w:marTop w:val="0"/>
              <w:marBottom w:val="0"/>
              <w:divBdr>
                <w:top w:val="none" w:sz="0" w:space="0" w:color="auto"/>
                <w:left w:val="none" w:sz="0" w:space="0" w:color="auto"/>
                <w:bottom w:val="none" w:sz="0" w:space="0" w:color="auto"/>
                <w:right w:val="none" w:sz="0" w:space="0" w:color="auto"/>
              </w:divBdr>
              <w:divsChild>
                <w:div w:id="486752904">
                  <w:marLeft w:val="0"/>
                  <w:marRight w:val="0"/>
                  <w:marTop w:val="0"/>
                  <w:marBottom w:val="0"/>
                  <w:divBdr>
                    <w:top w:val="none" w:sz="0" w:space="0" w:color="auto"/>
                    <w:left w:val="none" w:sz="0" w:space="0" w:color="auto"/>
                    <w:bottom w:val="none" w:sz="0" w:space="0" w:color="auto"/>
                    <w:right w:val="none" w:sz="0" w:space="0" w:color="auto"/>
                  </w:divBdr>
                  <w:divsChild>
                    <w:div w:id="58596678">
                      <w:marLeft w:val="0"/>
                      <w:marRight w:val="0"/>
                      <w:marTop w:val="0"/>
                      <w:marBottom w:val="0"/>
                      <w:divBdr>
                        <w:top w:val="single" w:sz="4" w:space="0" w:color="D2E0C0"/>
                        <w:left w:val="single" w:sz="4" w:space="0" w:color="D2E0C0"/>
                        <w:bottom w:val="single" w:sz="4" w:space="0" w:color="D2E0C0"/>
                        <w:right w:val="single" w:sz="4" w:space="0" w:color="D2E0C0"/>
                      </w:divBdr>
                      <w:divsChild>
                        <w:div w:id="1144005368">
                          <w:marLeft w:val="0"/>
                          <w:marRight w:val="4583"/>
                          <w:marTop w:val="0"/>
                          <w:marBottom w:val="0"/>
                          <w:divBdr>
                            <w:top w:val="none" w:sz="0" w:space="0" w:color="auto"/>
                            <w:left w:val="none" w:sz="0" w:space="0" w:color="auto"/>
                            <w:bottom w:val="none" w:sz="0" w:space="0" w:color="auto"/>
                            <w:right w:val="none" w:sz="0" w:space="0" w:color="auto"/>
                          </w:divBdr>
                          <w:divsChild>
                            <w:div w:id="1465124966">
                              <w:marLeft w:val="0"/>
                              <w:marRight w:val="0"/>
                              <w:marTop w:val="0"/>
                              <w:marBottom w:val="0"/>
                              <w:divBdr>
                                <w:top w:val="single" w:sz="4" w:space="0" w:color="D2E0C0"/>
                                <w:left w:val="none" w:sz="0" w:space="0" w:color="auto"/>
                                <w:bottom w:val="none" w:sz="0" w:space="0" w:color="auto"/>
                                <w:right w:val="none" w:sz="0" w:space="0" w:color="auto"/>
                              </w:divBdr>
                              <w:divsChild>
                                <w:div w:id="1565027525">
                                  <w:marLeft w:val="0"/>
                                  <w:marRight w:val="0"/>
                                  <w:marTop w:val="0"/>
                                  <w:marBottom w:val="0"/>
                                  <w:divBdr>
                                    <w:top w:val="single" w:sz="4" w:space="0" w:color="F7F8F4"/>
                                    <w:left w:val="none" w:sz="0" w:space="0" w:color="auto"/>
                                    <w:bottom w:val="none" w:sz="0" w:space="0" w:color="auto"/>
                                    <w:right w:val="none" w:sz="0" w:space="0" w:color="auto"/>
                                  </w:divBdr>
                                  <w:divsChild>
                                    <w:div w:id="1457917261">
                                      <w:marLeft w:val="0"/>
                                      <w:marRight w:val="0"/>
                                      <w:marTop w:val="0"/>
                                      <w:marBottom w:val="0"/>
                                      <w:divBdr>
                                        <w:top w:val="none" w:sz="0" w:space="0" w:color="auto"/>
                                        <w:left w:val="none" w:sz="0" w:space="0" w:color="auto"/>
                                        <w:bottom w:val="none" w:sz="0" w:space="0" w:color="auto"/>
                                        <w:right w:val="none" w:sz="0" w:space="0" w:color="auto"/>
                                      </w:divBdr>
                                      <w:divsChild>
                                        <w:div w:id="2017492976">
                                          <w:marLeft w:val="0"/>
                                          <w:marRight w:val="0"/>
                                          <w:marTop w:val="0"/>
                                          <w:marBottom w:val="0"/>
                                          <w:divBdr>
                                            <w:top w:val="none" w:sz="0" w:space="0" w:color="auto"/>
                                            <w:left w:val="none" w:sz="0" w:space="0" w:color="auto"/>
                                            <w:bottom w:val="none" w:sz="0" w:space="0" w:color="auto"/>
                                            <w:right w:val="none" w:sz="0" w:space="0" w:color="auto"/>
                                          </w:divBdr>
                                          <w:divsChild>
                                            <w:div w:id="815415804">
                                              <w:marLeft w:val="0"/>
                                              <w:marRight w:val="0"/>
                                              <w:marTop w:val="0"/>
                                              <w:marBottom w:val="0"/>
                                              <w:divBdr>
                                                <w:top w:val="none" w:sz="0" w:space="0" w:color="auto"/>
                                                <w:left w:val="none" w:sz="0" w:space="0" w:color="auto"/>
                                                <w:bottom w:val="none" w:sz="0" w:space="0" w:color="auto"/>
                                                <w:right w:val="none" w:sz="0" w:space="0" w:color="auto"/>
                                              </w:divBdr>
                                              <w:divsChild>
                                                <w:div w:id="307177242">
                                                  <w:marLeft w:val="38"/>
                                                  <w:marRight w:val="63"/>
                                                  <w:marTop w:val="0"/>
                                                  <w:marBottom w:val="0"/>
                                                  <w:divBdr>
                                                    <w:top w:val="none" w:sz="0" w:space="0" w:color="auto"/>
                                                    <w:left w:val="none" w:sz="0" w:space="0" w:color="auto"/>
                                                    <w:bottom w:val="none" w:sz="0" w:space="0" w:color="auto"/>
                                                    <w:right w:val="none" w:sz="0" w:space="0" w:color="auto"/>
                                                  </w:divBdr>
                                                  <w:divsChild>
                                                    <w:div w:id="1477986693">
                                                      <w:marLeft w:val="0"/>
                                                      <w:marRight w:val="0"/>
                                                      <w:marTop w:val="0"/>
                                                      <w:marBottom w:val="0"/>
                                                      <w:divBdr>
                                                        <w:top w:val="none" w:sz="0" w:space="0" w:color="auto"/>
                                                        <w:left w:val="none" w:sz="0" w:space="0" w:color="auto"/>
                                                        <w:bottom w:val="none" w:sz="0" w:space="0" w:color="auto"/>
                                                        <w:right w:val="none" w:sz="0" w:space="0" w:color="auto"/>
                                                      </w:divBdr>
                                                      <w:divsChild>
                                                        <w:div w:id="962151825">
                                                          <w:marLeft w:val="0"/>
                                                          <w:marRight w:val="-24000"/>
                                                          <w:marTop w:val="0"/>
                                                          <w:marBottom w:val="0"/>
                                                          <w:divBdr>
                                                            <w:top w:val="none" w:sz="0" w:space="0" w:color="auto"/>
                                                            <w:left w:val="none" w:sz="0" w:space="0" w:color="auto"/>
                                                            <w:bottom w:val="none" w:sz="0" w:space="0" w:color="auto"/>
                                                            <w:right w:val="none" w:sz="0" w:space="0" w:color="auto"/>
                                                          </w:divBdr>
                                                          <w:divsChild>
                                                            <w:div w:id="603735343">
                                                              <w:marLeft w:val="0"/>
                                                              <w:marRight w:val="0"/>
                                                              <w:marTop w:val="0"/>
                                                              <w:marBottom w:val="0"/>
                                                              <w:divBdr>
                                                                <w:top w:val="none" w:sz="0" w:space="0" w:color="auto"/>
                                                                <w:left w:val="none" w:sz="0" w:space="0" w:color="auto"/>
                                                                <w:bottom w:val="none" w:sz="0" w:space="0" w:color="auto"/>
                                                                <w:right w:val="none" w:sz="0" w:space="0" w:color="auto"/>
                                                              </w:divBdr>
                                                              <w:divsChild>
                                                                <w:div w:id="7867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7483914">
      <w:bodyDiv w:val="1"/>
      <w:marLeft w:val="0"/>
      <w:marRight w:val="0"/>
      <w:marTop w:val="0"/>
      <w:marBottom w:val="0"/>
      <w:divBdr>
        <w:top w:val="none" w:sz="0" w:space="0" w:color="auto"/>
        <w:left w:val="none" w:sz="0" w:space="0" w:color="auto"/>
        <w:bottom w:val="none" w:sz="0" w:space="0" w:color="auto"/>
        <w:right w:val="none" w:sz="0" w:space="0" w:color="auto"/>
      </w:divBdr>
    </w:div>
    <w:div w:id="1513687063">
      <w:bodyDiv w:val="1"/>
      <w:marLeft w:val="0"/>
      <w:marRight w:val="0"/>
      <w:marTop w:val="0"/>
      <w:marBottom w:val="0"/>
      <w:divBdr>
        <w:top w:val="none" w:sz="0" w:space="0" w:color="auto"/>
        <w:left w:val="none" w:sz="0" w:space="0" w:color="auto"/>
        <w:bottom w:val="none" w:sz="0" w:space="0" w:color="auto"/>
        <w:right w:val="none" w:sz="0" w:space="0" w:color="auto"/>
      </w:divBdr>
      <w:divsChild>
        <w:div w:id="850291525">
          <w:marLeft w:val="0"/>
          <w:marRight w:val="0"/>
          <w:marTop w:val="0"/>
          <w:marBottom w:val="0"/>
          <w:divBdr>
            <w:top w:val="none" w:sz="0" w:space="0" w:color="auto"/>
            <w:left w:val="none" w:sz="0" w:space="0" w:color="auto"/>
            <w:bottom w:val="none" w:sz="0" w:space="0" w:color="auto"/>
            <w:right w:val="none" w:sz="0" w:space="0" w:color="auto"/>
          </w:divBdr>
          <w:divsChild>
            <w:div w:id="1641810309">
              <w:marLeft w:val="0"/>
              <w:marRight w:val="0"/>
              <w:marTop w:val="0"/>
              <w:marBottom w:val="0"/>
              <w:divBdr>
                <w:top w:val="none" w:sz="0" w:space="0" w:color="auto"/>
                <w:left w:val="none" w:sz="0" w:space="0" w:color="auto"/>
                <w:bottom w:val="none" w:sz="0" w:space="0" w:color="auto"/>
                <w:right w:val="none" w:sz="0" w:space="0" w:color="auto"/>
              </w:divBdr>
              <w:divsChild>
                <w:div w:id="628171364">
                  <w:marLeft w:val="0"/>
                  <w:marRight w:val="0"/>
                  <w:marTop w:val="0"/>
                  <w:marBottom w:val="0"/>
                  <w:divBdr>
                    <w:top w:val="none" w:sz="0" w:space="0" w:color="auto"/>
                    <w:left w:val="none" w:sz="0" w:space="0" w:color="auto"/>
                    <w:bottom w:val="none" w:sz="0" w:space="0" w:color="auto"/>
                    <w:right w:val="none" w:sz="0" w:space="0" w:color="auto"/>
                  </w:divBdr>
                  <w:divsChild>
                    <w:div w:id="555897499">
                      <w:marLeft w:val="0"/>
                      <w:marRight w:val="0"/>
                      <w:marTop w:val="0"/>
                      <w:marBottom w:val="0"/>
                      <w:divBdr>
                        <w:top w:val="none" w:sz="0" w:space="0" w:color="auto"/>
                        <w:left w:val="none" w:sz="0" w:space="0" w:color="auto"/>
                        <w:bottom w:val="none" w:sz="0" w:space="0" w:color="auto"/>
                        <w:right w:val="none" w:sz="0" w:space="0" w:color="auto"/>
                      </w:divBdr>
                      <w:divsChild>
                        <w:div w:id="16244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393131">
      <w:bodyDiv w:val="1"/>
      <w:marLeft w:val="0"/>
      <w:marRight w:val="0"/>
      <w:marTop w:val="0"/>
      <w:marBottom w:val="0"/>
      <w:divBdr>
        <w:top w:val="none" w:sz="0" w:space="0" w:color="auto"/>
        <w:left w:val="none" w:sz="0" w:space="0" w:color="auto"/>
        <w:bottom w:val="none" w:sz="0" w:space="0" w:color="auto"/>
        <w:right w:val="none" w:sz="0" w:space="0" w:color="auto"/>
      </w:divBdr>
    </w:div>
    <w:div w:id="1881085389">
      <w:bodyDiv w:val="1"/>
      <w:marLeft w:val="0"/>
      <w:marRight w:val="0"/>
      <w:marTop w:val="0"/>
      <w:marBottom w:val="0"/>
      <w:divBdr>
        <w:top w:val="none" w:sz="0" w:space="0" w:color="auto"/>
        <w:left w:val="none" w:sz="0" w:space="0" w:color="auto"/>
        <w:bottom w:val="none" w:sz="0" w:space="0" w:color="auto"/>
        <w:right w:val="none" w:sz="0" w:space="0" w:color="auto"/>
      </w:divBdr>
    </w:div>
    <w:div w:id="1934165930">
      <w:bodyDiv w:val="1"/>
      <w:marLeft w:val="0"/>
      <w:marRight w:val="0"/>
      <w:marTop w:val="0"/>
      <w:marBottom w:val="0"/>
      <w:divBdr>
        <w:top w:val="none" w:sz="0" w:space="0" w:color="auto"/>
        <w:left w:val="none" w:sz="0" w:space="0" w:color="auto"/>
        <w:bottom w:val="none" w:sz="0" w:space="0" w:color="auto"/>
        <w:right w:val="none" w:sz="0" w:space="0" w:color="auto"/>
      </w:divBdr>
      <w:divsChild>
        <w:div w:id="1625961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23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fr26.nantes.inserm.fr/ITERT/" TargetMode="External"/><Relationship Id="rId18" Type="http://schemas.openxmlformats.org/officeDocument/2006/relationships/hyperlink" Target="http://www.idbc.f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ouest-genopole.org" TargetMode="External"/><Relationship Id="rId7" Type="http://schemas.openxmlformats.org/officeDocument/2006/relationships/endnotes" Target="endnotes.xml"/><Relationship Id="rId12" Type="http://schemas.openxmlformats.org/officeDocument/2006/relationships/hyperlink" Target="http://www.chu-nantes.fr/institut-de-transplantation-et-de-recherche-en-transplantation-urologie-nephrologie-iun--557.kjsp" TargetMode="External"/><Relationship Id="rId17" Type="http://schemas.openxmlformats.org/officeDocument/2006/relationships/hyperlink" Target="http://www.ifr26.nantes.inserm.fr/ITER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hu-nantes.fr/institut-de-transplantation-et-de-recherche-en-transplantation-urologie-nephrologie-iun--557.kjsp" TargetMode="External"/><Relationship Id="rId20" Type="http://schemas.openxmlformats.org/officeDocument/2006/relationships/hyperlink" Target="http://www.tcl-pharm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u-nantes.fr" TargetMode="External"/><Relationship Id="rId24" Type="http://schemas.openxmlformats.org/officeDocument/2006/relationships/hyperlink" Target="mailto:juliette@alizerp.com" TargetMode="External"/><Relationship Id="rId5" Type="http://schemas.openxmlformats.org/officeDocument/2006/relationships/webSettings" Target="webSettings.xml"/><Relationship Id="rId15" Type="http://schemas.openxmlformats.org/officeDocument/2006/relationships/hyperlink" Target="http://www.springerlink.com/content/h580500n25t5/?p=95eb11a32ff54cf6866fd9ab633babf0&amp;pi=0" TargetMode="External"/><Relationship Id="rId23" Type="http://schemas.openxmlformats.org/officeDocument/2006/relationships/hyperlink" Target="file:///C:\Users\jb-garnier\AppData\Local\Microsoft\Windows\Temporary%20Internet%20Files\Content.Outlook\BW06DKFC\Sandrine.DELAGE@chu-nantes.fr"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tcland-expression.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pringerlink.com/content/106603/?p=95eb11a32ff54cf6866fd9ab633babf0&amp;pi=0" TargetMode="External"/><Relationship Id="rId22" Type="http://schemas.openxmlformats.org/officeDocument/2006/relationships/hyperlink" Target="mailto:caroline@alizerp.com"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niv-nantes.fr" TargetMode="External"/><Relationship Id="rId2" Type="http://schemas.openxmlformats.org/officeDocument/2006/relationships/hyperlink" Target="http://www.chu-nantes.fr" TargetMode="External"/><Relationship Id="rId1" Type="http://schemas.openxmlformats.org/officeDocument/2006/relationships/hyperlink" Target="http://www.chu-nantes.fr/institut-de-transplantation-et-de-recherche-en-transplantation-urologie-nephrologie-iun--557.kjsp" TargetMode="External"/><Relationship Id="rId4" Type="http://schemas.openxmlformats.org/officeDocument/2006/relationships/hyperlink" Target="http://www.grand-ouest.inserm.fr/go/fr/home/index.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AB982-056F-4EE6-8C80-0FF75892D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3358</Words>
  <Characters>18470</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Communiqué de presse</vt:lpstr>
    </vt:vector>
  </TitlesOfParts>
  <Company/>
  <LinksUpToDate>false</LinksUpToDate>
  <CharactersWithSpaces>21785</CharactersWithSpaces>
  <SharedDoc>false</SharedDoc>
  <HLinks>
    <vt:vector size="120" baseType="variant">
      <vt:variant>
        <vt:i4>3145827</vt:i4>
      </vt:variant>
      <vt:variant>
        <vt:i4>51</vt:i4>
      </vt:variant>
      <vt:variant>
        <vt:i4>0</vt:i4>
      </vt:variant>
      <vt:variant>
        <vt:i4>5</vt:i4>
      </vt:variant>
      <vt:variant>
        <vt:lpwstr>http://www.fondation-centaure.fr/fondation/presentation.php</vt:lpwstr>
      </vt:variant>
      <vt:variant>
        <vt:lpwstr/>
      </vt:variant>
      <vt:variant>
        <vt:i4>6553716</vt:i4>
      </vt:variant>
      <vt:variant>
        <vt:i4>48</vt:i4>
      </vt:variant>
      <vt:variant>
        <vt:i4>0</vt:i4>
      </vt:variant>
      <vt:variant>
        <vt:i4>5</vt:i4>
      </vt:variant>
      <vt:variant>
        <vt:lpwstr>http://www.ifr26.nantes.inserm.fr/ITERT</vt:lpwstr>
      </vt:variant>
      <vt:variant>
        <vt:lpwstr/>
      </vt:variant>
      <vt:variant>
        <vt:i4>1048633</vt:i4>
      </vt:variant>
      <vt:variant>
        <vt:i4>45</vt:i4>
      </vt:variant>
      <vt:variant>
        <vt:i4>0</vt:i4>
      </vt:variant>
      <vt:variant>
        <vt:i4>5</vt:i4>
      </vt:variant>
      <vt:variant>
        <vt:lpwstr>mailto:juliette@alizerp.com</vt:lpwstr>
      </vt:variant>
      <vt:variant>
        <vt:lpwstr/>
      </vt:variant>
      <vt:variant>
        <vt:i4>3670085</vt:i4>
      </vt:variant>
      <vt:variant>
        <vt:i4>42</vt:i4>
      </vt:variant>
      <vt:variant>
        <vt:i4>0</vt:i4>
      </vt:variant>
      <vt:variant>
        <vt:i4>5</vt:i4>
      </vt:variant>
      <vt:variant>
        <vt:lpwstr>C:\Users\jb-garnier\AppData\jb-garnier\AppData\Local\Microsoft\Windows\Temporary Internet Files\Content.Outlook\BW06DKFC\Sandrine.DELAGE@chu-nantes.fr</vt:lpwstr>
      </vt:variant>
      <vt:variant>
        <vt:lpwstr/>
      </vt:variant>
      <vt:variant>
        <vt:i4>1310774</vt:i4>
      </vt:variant>
      <vt:variant>
        <vt:i4>39</vt:i4>
      </vt:variant>
      <vt:variant>
        <vt:i4>0</vt:i4>
      </vt:variant>
      <vt:variant>
        <vt:i4>5</vt:i4>
      </vt:variant>
      <vt:variant>
        <vt:lpwstr>mailto:caroline@alizerp.com</vt:lpwstr>
      </vt:variant>
      <vt:variant>
        <vt:lpwstr/>
      </vt:variant>
      <vt:variant>
        <vt:i4>3014714</vt:i4>
      </vt:variant>
      <vt:variant>
        <vt:i4>36</vt:i4>
      </vt:variant>
      <vt:variant>
        <vt:i4>0</vt:i4>
      </vt:variant>
      <vt:variant>
        <vt:i4>5</vt:i4>
      </vt:variant>
      <vt:variant>
        <vt:lpwstr>http://www.grand-ouest.inserm.fr/go/fr/home/index.html</vt:lpwstr>
      </vt:variant>
      <vt:variant>
        <vt:lpwstr/>
      </vt:variant>
      <vt:variant>
        <vt:i4>3473521</vt:i4>
      </vt:variant>
      <vt:variant>
        <vt:i4>33</vt:i4>
      </vt:variant>
      <vt:variant>
        <vt:i4>0</vt:i4>
      </vt:variant>
      <vt:variant>
        <vt:i4>5</vt:i4>
      </vt:variant>
      <vt:variant>
        <vt:lpwstr>http://www.univ-nantes.fr/</vt:lpwstr>
      </vt:variant>
      <vt:variant>
        <vt:lpwstr/>
      </vt:variant>
      <vt:variant>
        <vt:i4>262165</vt:i4>
      </vt:variant>
      <vt:variant>
        <vt:i4>30</vt:i4>
      </vt:variant>
      <vt:variant>
        <vt:i4>0</vt:i4>
      </vt:variant>
      <vt:variant>
        <vt:i4>5</vt:i4>
      </vt:variant>
      <vt:variant>
        <vt:lpwstr>http://www.chu-nantes.fr/</vt:lpwstr>
      </vt:variant>
      <vt:variant>
        <vt:lpwstr/>
      </vt:variant>
      <vt:variant>
        <vt:i4>6553716</vt:i4>
      </vt:variant>
      <vt:variant>
        <vt:i4>27</vt:i4>
      </vt:variant>
      <vt:variant>
        <vt:i4>0</vt:i4>
      </vt:variant>
      <vt:variant>
        <vt:i4>5</vt:i4>
      </vt:variant>
      <vt:variant>
        <vt:lpwstr>http://www.ifr26.nantes.inserm.fr/ITERT</vt:lpwstr>
      </vt:variant>
      <vt:variant>
        <vt:lpwstr/>
      </vt:variant>
      <vt:variant>
        <vt:i4>2424951</vt:i4>
      </vt:variant>
      <vt:variant>
        <vt:i4>24</vt:i4>
      </vt:variant>
      <vt:variant>
        <vt:i4>0</vt:i4>
      </vt:variant>
      <vt:variant>
        <vt:i4>5</vt:i4>
      </vt:variant>
      <vt:variant>
        <vt:lpwstr>http://www.chu-nantes.fr/institut-de-transplantation-et-de-recherche-en-transplantation-urologie-nephrologie-iun--557.kjsp</vt:lpwstr>
      </vt:variant>
      <vt:variant>
        <vt:lpwstr/>
      </vt:variant>
      <vt:variant>
        <vt:i4>5767244</vt:i4>
      </vt:variant>
      <vt:variant>
        <vt:i4>21</vt:i4>
      </vt:variant>
      <vt:variant>
        <vt:i4>0</vt:i4>
      </vt:variant>
      <vt:variant>
        <vt:i4>5</vt:i4>
      </vt:variant>
      <vt:variant>
        <vt:lpwstr>http://www.springerlink.com/content/h580500n25t5/?p=95eb11a32ff54cf6866fd9ab633babf0&amp;pi=0</vt:lpwstr>
      </vt:variant>
      <vt:variant>
        <vt:lpwstr/>
      </vt:variant>
      <vt:variant>
        <vt:i4>3539048</vt:i4>
      </vt:variant>
      <vt:variant>
        <vt:i4>18</vt:i4>
      </vt:variant>
      <vt:variant>
        <vt:i4>0</vt:i4>
      </vt:variant>
      <vt:variant>
        <vt:i4>5</vt:i4>
      </vt:variant>
      <vt:variant>
        <vt:lpwstr>http://www.springerlink.com/content/106603/?p=95eb11a32ff54cf6866fd9ab633babf0&amp;pi=0</vt:lpwstr>
      </vt:variant>
      <vt:variant>
        <vt:lpwstr/>
      </vt:variant>
      <vt:variant>
        <vt:i4>4915200</vt:i4>
      </vt:variant>
      <vt:variant>
        <vt:i4>15</vt:i4>
      </vt:variant>
      <vt:variant>
        <vt:i4>0</vt:i4>
      </vt:variant>
      <vt:variant>
        <vt:i4>5</vt:i4>
      </vt:variant>
      <vt:variant>
        <vt:lpwstr>http://www.ifr26.nantes.inserm.fr/ITERT/</vt:lpwstr>
      </vt:variant>
      <vt:variant>
        <vt:lpwstr/>
      </vt:variant>
      <vt:variant>
        <vt:i4>2424951</vt:i4>
      </vt:variant>
      <vt:variant>
        <vt:i4>12</vt:i4>
      </vt:variant>
      <vt:variant>
        <vt:i4>0</vt:i4>
      </vt:variant>
      <vt:variant>
        <vt:i4>5</vt:i4>
      </vt:variant>
      <vt:variant>
        <vt:lpwstr>http://www.chu-nantes.fr/institut-de-transplantation-et-de-recherche-en-transplantation-urologie-nephrologie-iun--557.kjsp</vt:lpwstr>
      </vt:variant>
      <vt:variant>
        <vt:lpwstr/>
      </vt:variant>
      <vt:variant>
        <vt:i4>262165</vt:i4>
      </vt:variant>
      <vt:variant>
        <vt:i4>9</vt:i4>
      </vt:variant>
      <vt:variant>
        <vt:i4>0</vt:i4>
      </vt:variant>
      <vt:variant>
        <vt:i4>5</vt:i4>
      </vt:variant>
      <vt:variant>
        <vt:lpwstr>http://www.chu-nantes.fr/</vt:lpwstr>
      </vt:variant>
      <vt:variant>
        <vt:lpwstr/>
      </vt:variant>
      <vt:variant>
        <vt:i4>3014714</vt:i4>
      </vt:variant>
      <vt:variant>
        <vt:i4>9</vt:i4>
      </vt:variant>
      <vt:variant>
        <vt:i4>0</vt:i4>
      </vt:variant>
      <vt:variant>
        <vt:i4>5</vt:i4>
      </vt:variant>
      <vt:variant>
        <vt:lpwstr>http://www.grand-ouest.inserm.fr/go/fr/home/index.html</vt:lpwstr>
      </vt:variant>
      <vt:variant>
        <vt:lpwstr/>
      </vt:variant>
      <vt:variant>
        <vt:i4>3473521</vt:i4>
      </vt:variant>
      <vt:variant>
        <vt:i4>6</vt:i4>
      </vt:variant>
      <vt:variant>
        <vt:i4>0</vt:i4>
      </vt:variant>
      <vt:variant>
        <vt:i4>5</vt:i4>
      </vt:variant>
      <vt:variant>
        <vt:lpwstr>http://www.univ-nantes.fr/</vt:lpwstr>
      </vt:variant>
      <vt:variant>
        <vt:lpwstr/>
      </vt:variant>
      <vt:variant>
        <vt:i4>262165</vt:i4>
      </vt:variant>
      <vt:variant>
        <vt:i4>3</vt:i4>
      </vt:variant>
      <vt:variant>
        <vt:i4>0</vt:i4>
      </vt:variant>
      <vt:variant>
        <vt:i4>5</vt:i4>
      </vt:variant>
      <vt:variant>
        <vt:lpwstr>http://www.chu-nantes.fr/</vt:lpwstr>
      </vt:variant>
      <vt:variant>
        <vt:lpwstr/>
      </vt:variant>
      <vt:variant>
        <vt:i4>2424951</vt:i4>
      </vt:variant>
      <vt:variant>
        <vt:i4>0</vt:i4>
      </vt:variant>
      <vt:variant>
        <vt:i4>0</vt:i4>
      </vt:variant>
      <vt:variant>
        <vt:i4>5</vt:i4>
      </vt:variant>
      <vt:variant>
        <vt:lpwstr>http://www.chu-nantes.fr/institut-de-transplantation-et-de-recherche-en-transplantation-urologie-nephrologie-iun--557.kjsp</vt:lpwstr>
      </vt:variant>
      <vt:variant>
        <vt:lpwstr/>
      </vt:variant>
      <vt:variant>
        <vt:i4>6160476</vt:i4>
      </vt:variant>
      <vt:variant>
        <vt:i4>2328</vt:i4>
      </vt:variant>
      <vt:variant>
        <vt:i4>1027</vt:i4>
      </vt:variant>
      <vt:variant>
        <vt:i4>1</vt:i4>
      </vt:variant>
      <vt:variant>
        <vt:lpwstr>cid:FD78B14F-23D2-4241-A518-D1B70043A731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dc:title>
  <dc:creator>caroline</dc:creator>
  <cp:lastModifiedBy>Caroline</cp:lastModifiedBy>
  <cp:revision>2</cp:revision>
  <cp:lastPrinted>2010-03-23T17:02:00Z</cp:lastPrinted>
  <dcterms:created xsi:type="dcterms:W3CDTF">2010-03-30T06:52:00Z</dcterms:created>
  <dcterms:modified xsi:type="dcterms:W3CDTF">2010-03-30T06:52:00Z</dcterms:modified>
</cp:coreProperties>
</file>