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348FA" w14:textId="0380DD20" w:rsidR="00E30765" w:rsidRPr="00187C15" w:rsidRDefault="00DE1AFD" w:rsidP="00AD71AA">
      <w:pPr>
        <w:spacing w:after="240" w:line="240" w:lineRule="auto"/>
        <w:jc w:val="both"/>
        <w:rPr>
          <w:rFonts w:ascii="Bell MT" w:hAnsi="Bell MT"/>
          <w:b/>
          <w:color w:val="C00000"/>
          <w:sz w:val="26"/>
          <w:szCs w:val="26"/>
        </w:rPr>
      </w:pPr>
      <w:r>
        <w:rPr>
          <w:noProof/>
          <w:lang w:eastAsia="fr-FR"/>
        </w:rPr>
        <w:drawing>
          <wp:anchor distT="0" distB="0" distL="114300" distR="114300" simplePos="0" relativeHeight="251658240" behindDoc="0" locked="0" layoutInCell="1" allowOverlap="1" wp14:anchorId="253EA6FE" wp14:editId="1BADC147">
            <wp:simplePos x="4991100" y="247650"/>
            <wp:positionH relativeFrom="margin">
              <wp:align>left</wp:align>
            </wp:positionH>
            <wp:positionV relativeFrom="margin">
              <wp:align>top</wp:align>
            </wp:positionV>
            <wp:extent cx="494030" cy="438150"/>
            <wp:effectExtent l="0" t="0" r="1270" b="0"/>
            <wp:wrapSquare wrapText="bothSides"/>
            <wp:docPr id="1" name="Image 1" descr="SPILF (@SPILF_)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LF (@SPILF_) | Twitte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321"/>
                    <a:stretch/>
                  </pic:blipFill>
                  <pic:spPr bwMode="auto">
                    <a:xfrm>
                      <a:off x="0" y="0"/>
                      <a:ext cx="494084" cy="43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9A9" w:rsidRPr="00187C15">
        <w:rPr>
          <w:rFonts w:ascii="Bell MT" w:hAnsi="Bell MT"/>
          <w:b/>
          <w:sz w:val="26"/>
          <w:szCs w:val="26"/>
        </w:rPr>
        <w:t xml:space="preserve">NEWSLETTER </w:t>
      </w:r>
      <w:r w:rsidR="00822AE7" w:rsidRPr="00187C15">
        <w:rPr>
          <w:rFonts w:ascii="Bell MT" w:hAnsi="Bell MT"/>
          <w:b/>
          <w:sz w:val="26"/>
          <w:szCs w:val="26"/>
        </w:rPr>
        <w:t>N°</w:t>
      </w:r>
      <w:r w:rsidR="00187C15" w:rsidRPr="00AD71AA">
        <w:rPr>
          <w:rFonts w:ascii="Bell MT" w:hAnsi="Bell MT"/>
          <w:b/>
          <w:color w:val="0E9A79"/>
          <w:sz w:val="26"/>
          <w:szCs w:val="26"/>
        </w:rPr>
        <w:t>3</w:t>
      </w:r>
      <w:r w:rsidR="00187C15" w:rsidRPr="00187C15">
        <w:rPr>
          <w:rFonts w:ascii="Bell MT" w:hAnsi="Bell MT"/>
          <w:b/>
          <w:sz w:val="26"/>
          <w:szCs w:val="26"/>
        </w:rPr>
        <w:t xml:space="preserve"> </w:t>
      </w:r>
      <w:r w:rsidR="008155FB" w:rsidRPr="00187C15">
        <w:rPr>
          <w:rFonts w:ascii="Bell MT" w:hAnsi="Bell MT"/>
          <w:b/>
          <w:sz w:val="26"/>
          <w:szCs w:val="26"/>
        </w:rPr>
        <w:t>VACCINATION COVID</w:t>
      </w:r>
      <w:r w:rsidR="00822AE7" w:rsidRPr="00187C15">
        <w:rPr>
          <w:rFonts w:ascii="Bell MT" w:hAnsi="Bell MT"/>
          <w:b/>
          <w:sz w:val="26"/>
          <w:szCs w:val="26"/>
        </w:rPr>
        <w:t xml:space="preserve"> </w:t>
      </w:r>
      <w:r w:rsidR="00E30765" w:rsidRPr="00AD71AA">
        <w:rPr>
          <w:rFonts w:ascii="Bell MT" w:hAnsi="Bell MT"/>
          <w:b/>
          <w:color w:val="0E9A79"/>
          <w:sz w:val="26"/>
          <w:szCs w:val="26"/>
        </w:rPr>
        <w:t xml:space="preserve">– </w:t>
      </w:r>
      <w:r w:rsidR="00187C15" w:rsidRPr="00AD71AA">
        <w:rPr>
          <w:rFonts w:ascii="Bell MT" w:hAnsi="Bell MT"/>
          <w:b/>
          <w:color w:val="0E9A79"/>
          <w:sz w:val="26"/>
          <w:szCs w:val="26"/>
        </w:rPr>
        <w:t>1er avril</w:t>
      </w:r>
      <w:r w:rsidR="00E30765" w:rsidRPr="00AD71AA">
        <w:rPr>
          <w:rFonts w:ascii="Bell MT" w:hAnsi="Bell MT"/>
          <w:b/>
          <w:color w:val="0E9A79"/>
          <w:sz w:val="26"/>
          <w:szCs w:val="26"/>
        </w:rPr>
        <w:t xml:space="preserve"> 2021 –</w:t>
      </w:r>
      <w:r w:rsidR="00D64A56" w:rsidRPr="00ED01A0">
        <w:rPr>
          <w:rFonts w:ascii="Bell MT" w:hAnsi="Bell MT"/>
          <w:b/>
          <w:noProof/>
          <w:color w:val="C00000"/>
          <w:sz w:val="26"/>
          <w:szCs w:val="26"/>
          <w:lang w:eastAsia="fr-FR"/>
        </w:rPr>
        <w:drawing>
          <wp:inline distT="0" distB="0" distL="0" distR="0" wp14:anchorId="06697C6A" wp14:editId="120748B2">
            <wp:extent cx="1533523" cy="200025"/>
            <wp:effectExtent l="0" t="0" r="0" b="0"/>
            <wp:docPr id="3" name="Image 3">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8261DCEE-DC61-4341-AA27-6CA103C8C1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8261DCEE-DC61-4341-AA27-6CA103C8C198}"/>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1545691" cy="201612"/>
                    </a:xfrm>
                    <a:prstGeom prst="rect">
                      <a:avLst/>
                    </a:prstGeom>
                    <a:ln>
                      <a:noFill/>
                    </a:ln>
                  </pic:spPr>
                </pic:pic>
              </a:graphicData>
            </a:graphic>
          </wp:inline>
        </w:drawing>
      </w:r>
      <w:r w:rsidR="00D64A56">
        <w:rPr>
          <w:rFonts w:ascii="Bell MT" w:hAnsi="Bell MT"/>
          <w:b/>
          <w:color w:val="C00000"/>
          <w:sz w:val="26"/>
          <w:szCs w:val="26"/>
        </w:rPr>
        <w:t xml:space="preserve">  </w:t>
      </w:r>
    </w:p>
    <w:p w14:paraId="75B9C5C1" w14:textId="28DCECB1" w:rsidR="00736D6E" w:rsidRDefault="00435920" w:rsidP="00AD71AA">
      <w:pPr>
        <w:spacing w:before="120" w:after="60" w:line="240" w:lineRule="auto"/>
        <w:jc w:val="both"/>
        <w:rPr>
          <w:b/>
        </w:rPr>
      </w:pPr>
      <w:r>
        <w:rPr>
          <w:b/>
        </w:rPr>
        <w:t>Au 31/03/21, 8 516 790 personnes</w:t>
      </w:r>
      <w:r w:rsidR="00895560">
        <w:rPr>
          <w:b/>
        </w:rPr>
        <w:t xml:space="preserve"> </w:t>
      </w:r>
      <w:r w:rsidR="00895560" w:rsidRPr="00895560">
        <w:rPr>
          <w:b/>
        </w:rPr>
        <w:t>ont reçu au moins une injection</w:t>
      </w:r>
      <w:r w:rsidR="00736D6E">
        <w:rPr>
          <w:b/>
        </w:rPr>
        <w:t xml:space="preserve">, </w:t>
      </w:r>
      <w:r w:rsidR="00895560" w:rsidRPr="00895560">
        <w:rPr>
          <w:b/>
        </w:rPr>
        <w:t xml:space="preserve">soit 12,7 % de la population totale et </w:t>
      </w:r>
      <w:bookmarkStart w:id="0" w:name="_GoBack"/>
      <w:bookmarkEnd w:id="0"/>
      <w:r w:rsidR="00895560" w:rsidRPr="00895560">
        <w:rPr>
          <w:b/>
        </w:rPr>
        <w:t>16,2 % de la population majeure</w:t>
      </w:r>
      <w:r w:rsidR="00736D6E">
        <w:rPr>
          <w:b/>
        </w:rPr>
        <w:t xml:space="preserve"> </w:t>
      </w:r>
      <w:r w:rsidR="00736D6E">
        <w:t>(</w:t>
      </w:r>
      <w:hyperlink r:id="rId9" w:history="1">
        <w:r w:rsidR="00736D6E" w:rsidRPr="00175DB7">
          <w:rPr>
            <w:rStyle w:val="Lienhypertexte"/>
          </w:rPr>
          <w:t>https://solidarites-sante.gouv.fr/actualites/presse/communiques-de-presse/</w:t>
        </w:r>
      </w:hyperlink>
      <w:r w:rsidR="00736D6E">
        <w:t>)</w:t>
      </w:r>
      <w:r w:rsidR="00895560">
        <w:rPr>
          <w:b/>
        </w:rPr>
        <w:t>.</w:t>
      </w:r>
      <w:r w:rsidR="00736D6E">
        <w:rPr>
          <w:b/>
        </w:rPr>
        <w:t xml:space="preserve"> </w:t>
      </w:r>
    </w:p>
    <w:p w14:paraId="1F420B9C" w14:textId="2D6281CE" w:rsidR="00187C15" w:rsidRDefault="007730C2" w:rsidP="00AD71AA">
      <w:pPr>
        <w:spacing w:after="60" w:line="240" w:lineRule="auto"/>
        <w:jc w:val="both"/>
        <w:rPr>
          <w:b/>
        </w:rPr>
      </w:pPr>
      <w:r>
        <w:rPr>
          <w:b/>
        </w:rPr>
        <w:t>Toutes l</w:t>
      </w:r>
      <w:r w:rsidR="00396E81" w:rsidRPr="00396E81">
        <w:rPr>
          <w:b/>
        </w:rPr>
        <w:t>es personnes de 70 ans et plus</w:t>
      </w:r>
      <w:r>
        <w:rPr>
          <w:b/>
        </w:rPr>
        <w:t>, quels que soient leurs antécédents</w:t>
      </w:r>
      <w:r w:rsidR="00AC115D">
        <w:rPr>
          <w:b/>
        </w:rPr>
        <w:t>,</w:t>
      </w:r>
      <w:r>
        <w:rPr>
          <w:b/>
        </w:rPr>
        <w:t xml:space="preserve"> </w:t>
      </w:r>
      <w:r w:rsidR="00396E81">
        <w:rPr>
          <w:b/>
        </w:rPr>
        <w:t xml:space="preserve"> sont </w:t>
      </w:r>
      <w:r w:rsidR="00435920">
        <w:rPr>
          <w:b/>
        </w:rPr>
        <w:t xml:space="preserve">dorénavant </w:t>
      </w:r>
      <w:r w:rsidR="00396E81">
        <w:rPr>
          <w:b/>
        </w:rPr>
        <w:t>éligibles à la vaccination.</w:t>
      </w:r>
    </w:p>
    <w:p w14:paraId="4D4183C9" w14:textId="3E7108BC" w:rsidR="00187C15" w:rsidRPr="00AC115D" w:rsidRDefault="00187C15" w:rsidP="00AD71AA">
      <w:pPr>
        <w:spacing w:after="60" w:line="240" w:lineRule="auto"/>
        <w:jc w:val="both"/>
      </w:pPr>
      <w:r>
        <w:rPr>
          <w:b/>
        </w:rPr>
        <w:t>Le vaccin d’</w:t>
      </w:r>
      <w:proofErr w:type="spellStart"/>
      <w:r>
        <w:rPr>
          <w:b/>
        </w:rPr>
        <w:t>AstraZeneca</w:t>
      </w:r>
      <w:proofErr w:type="spellEnd"/>
      <w:r>
        <w:rPr>
          <w:b/>
        </w:rPr>
        <w:t xml:space="preserve"> change de nom commercial et devient </w:t>
      </w:r>
      <w:proofErr w:type="spellStart"/>
      <w:r>
        <w:rPr>
          <w:b/>
        </w:rPr>
        <w:t>Vaxzevria</w:t>
      </w:r>
      <w:proofErr w:type="spellEnd"/>
      <w:r>
        <w:rPr>
          <w:b/>
        </w:rPr>
        <w:t>®</w:t>
      </w:r>
      <w:r w:rsidR="00AC115D">
        <w:rPr>
          <w:b/>
        </w:rPr>
        <w:t xml:space="preserve"> (</w:t>
      </w:r>
      <w:r>
        <w:rPr>
          <w:b/>
        </w:rPr>
        <w:t>nom approuvé par l’EMA le 25/03/21</w:t>
      </w:r>
      <w:r w:rsidR="00AC115D">
        <w:rPr>
          <w:b/>
        </w:rPr>
        <w:t>)</w:t>
      </w:r>
      <w:r>
        <w:rPr>
          <w:b/>
        </w:rPr>
        <w:t xml:space="preserve">. </w:t>
      </w:r>
      <w:r w:rsidRPr="00AC115D">
        <w:t xml:space="preserve">Ce nouveau nom ne change rien </w:t>
      </w:r>
      <w:r w:rsidR="00022872">
        <w:t>à la constitution du</w:t>
      </w:r>
      <w:r w:rsidRPr="00AC115D">
        <w:t xml:space="preserve"> vaccin.</w:t>
      </w:r>
    </w:p>
    <w:p w14:paraId="15A253A6" w14:textId="0624EFE1" w:rsidR="00187C15" w:rsidRDefault="00187C15" w:rsidP="00AD71AA">
      <w:pPr>
        <w:spacing w:after="60" w:line="240" w:lineRule="auto"/>
        <w:jc w:val="both"/>
      </w:pPr>
      <w:r w:rsidRPr="00AC115D">
        <w:rPr>
          <w:b/>
        </w:rPr>
        <w:t xml:space="preserve">Dans le rapport de pharmacovigilance </w:t>
      </w:r>
      <w:r w:rsidR="00B778F4">
        <w:rPr>
          <w:b/>
        </w:rPr>
        <w:t>AZ</w:t>
      </w:r>
      <w:r w:rsidR="00B778F4" w:rsidRPr="00AC115D">
        <w:rPr>
          <w:b/>
        </w:rPr>
        <w:t xml:space="preserve"> </w:t>
      </w:r>
      <w:r w:rsidRPr="00AC115D">
        <w:rPr>
          <w:b/>
        </w:rPr>
        <w:t>du 26/03/21,</w:t>
      </w:r>
      <w:r>
        <w:t xml:space="preserve"> l’ANSM a recensé 9 cas de thromboses veineuses cérébrales </w:t>
      </w:r>
      <w:r w:rsidR="00B778F4">
        <w:t xml:space="preserve">(TVC) </w:t>
      </w:r>
      <w:r>
        <w:t>ou digestives, pour 1,4 M de vaccinés depuis le 06/02/21. Sept avaient moins de 55 ans et deux sont décédés (l’un par CIVD et thromboses multiples, l’autre par rupture de rate). L’agence confirme ainsi ce risque thrombotique rare, qui n’affecte néanmoins pas la balance bénéfice/risque globale du vaccin (</w:t>
      </w:r>
      <w:hyperlink r:id="rId10" w:history="1">
        <w:r>
          <w:rPr>
            <w:rStyle w:val="Lienhypertexte"/>
          </w:rPr>
          <w:t>https://ansm.sante.fr/dossiers-thematiques/covid-19-vaccins</w:t>
        </w:r>
      </w:hyperlink>
      <w:r>
        <w:t xml:space="preserve">). Ainsi au 31/03/21 en Europe, seuls la Norvège et le Danemark n’ont pas repris la vaccination </w:t>
      </w:r>
      <w:proofErr w:type="spellStart"/>
      <w:r>
        <w:t>AstraZeneca</w:t>
      </w:r>
      <w:proofErr w:type="spellEnd"/>
      <w:r>
        <w:t xml:space="preserve"> mais certains pays comme la France, la Suède et l’Allemagne (qui a rapporté le plus grand nombre de cas de TVC, 31 cas pour 2,7 M de vaccinés, la moitié des cas européens), ont modifié la cible vaccinale et déconseillent ainsi la vaccination par AZ aux personnes </w:t>
      </w:r>
      <w:r w:rsidR="00B778F4">
        <w:t xml:space="preserve">&lt; </w:t>
      </w:r>
      <w:r>
        <w:t xml:space="preserve">55 ou 60 ans. Le Royaume-Uni ne comptabilise quant à lui que 5 cas de TVC pour 14 M de vaccinés, le vaccin AZ ayant été plus utilisé chez les personnes </w:t>
      </w:r>
      <w:r w:rsidR="00B778F4">
        <w:t>&gt;</w:t>
      </w:r>
      <w:r>
        <w:t xml:space="preserve"> 50 ans (</w:t>
      </w:r>
      <w:hyperlink r:id="rId11" w:history="1">
        <w:r>
          <w:rPr>
            <w:rStyle w:val="Lienhypertexte"/>
          </w:rPr>
          <w:t>https://assets.publishing.service.gov.uk/government/uploads/system/uploads/attachment_data/file/972833/COVID-19_AstraZeneca_Vaccine_Analysis_Print.pdf</w:t>
        </w:r>
      </w:hyperlink>
      <w:r>
        <w:t xml:space="preserve">). La société allemande pour la recherche sur la thrombose et l'hémostase indique que l’origine des thromboses étant très probablement immunologique, un antécédent de maladie thromboembolique et/ou un terrain de thrombophilie ne contre-indiquent pas la vaccination AZ. Comme dans le cas d’une thrombose induite par l’héparine, l’utilisation des héparines est proscrite pour le traitement d’une thrombose possiblement liée au vaccin tant que le mécanisme auto-immun n’a pas été éliminé. Les </w:t>
      </w:r>
      <w:proofErr w:type="spellStart"/>
      <w:r>
        <w:t>IgIV</w:t>
      </w:r>
      <w:proofErr w:type="spellEnd"/>
      <w:r>
        <w:t xml:space="preserve"> peuvent être utiles pour le traitement d’une thrombose grave d’origine auto-immune (</w:t>
      </w:r>
      <w:hyperlink r:id="rId12" w:history="1">
        <w:r>
          <w:rPr>
            <w:rStyle w:val="Lienhypertexte"/>
          </w:rPr>
          <w:t>https://gth-online.org/wp-content/uploads/2021/03/GTH_Stellungnahme_AstraZeneca_engl._3_22_2021.pdf</w:t>
        </w:r>
      </w:hyperlink>
      <w:r>
        <w:t xml:space="preserve">). </w:t>
      </w:r>
      <w:r w:rsidR="00B778F4">
        <w:t>Des</w:t>
      </w:r>
      <w:r>
        <w:t xml:space="preserve"> travaux sont en cours pour déterminer les causes et facteurs de risque de ces événements rares. Une décision concernant le rappel AZ des personnes &lt; 55 ans sera prise dans les 15 jours à l’échelle européenne. Des essais cliniques combinant 2 vaccins différents pour </w:t>
      </w:r>
      <w:proofErr w:type="gramStart"/>
      <w:r>
        <w:t>le</w:t>
      </w:r>
      <w:proofErr w:type="gramEnd"/>
      <w:r>
        <w:t xml:space="preserve"> prime et le </w:t>
      </w:r>
      <w:proofErr w:type="spellStart"/>
      <w:r>
        <w:t>boost</w:t>
      </w:r>
      <w:proofErr w:type="spellEnd"/>
      <w:r>
        <w:t xml:space="preserve"> ont déjà démarré.</w:t>
      </w:r>
    </w:p>
    <w:p w14:paraId="752CF590" w14:textId="521337B2" w:rsidR="00AC115D" w:rsidRDefault="00EC4C21" w:rsidP="00AD71AA">
      <w:pPr>
        <w:widowControl w:val="0"/>
        <w:autoSpaceDE w:val="0"/>
        <w:autoSpaceDN w:val="0"/>
        <w:adjustRightInd w:val="0"/>
        <w:spacing w:after="60" w:line="240" w:lineRule="auto"/>
        <w:jc w:val="both"/>
        <w:rPr>
          <w:b/>
        </w:rPr>
      </w:pPr>
      <w:r w:rsidRPr="00AD71AA">
        <w:rPr>
          <w:b/>
        </w:rPr>
        <w:t>Peut-on vacciner une femme qui allaite ?</w:t>
      </w:r>
      <w:r w:rsidR="00AC115D" w:rsidRPr="00AC115D">
        <w:t xml:space="preserve"> Les femmes allaitantes ont été exclues des études cliniques et de ce fait il n’existe pas de données spécifiq</w:t>
      </w:r>
      <w:r w:rsidR="00AC115D">
        <w:t xml:space="preserve">ues les concernant. Néanmoins, les vaccins </w:t>
      </w:r>
      <w:r w:rsidR="00AC115D" w:rsidRPr="00AC115D">
        <w:t>AR</w:t>
      </w:r>
      <w:r w:rsidR="00AC115D">
        <w:t>Nm ou adénovirus non-répliquant</w:t>
      </w:r>
      <w:r w:rsidR="00AC115D" w:rsidRPr="00AC115D">
        <w:t xml:space="preserve"> n’étant pas des vaccins vivants, aucun effet nocif n’est attendu ni chez elle ni </w:t>
      </w:r>
      <w:r w:rsidR="00AC115D">
        <w:t xml:space="preserve">chez l’enfant allaité. </w:t>
      </w:r>
      <w:r w:rsidR="00736D6E">
        <w:t xml:space="preserve">Il a par ailleurs été démontré qu’un </w:t>
      </w:r>
      <w:r w:rsidR="00736D6E" w:rsidRPr="008114DE">
        <w:t xml:space="preserve">transfert </w:t>
      </w:r>
      <w:r w:rsidR="00736D6E">
        <w:t xml:space="preserve">d’anticorps s’effectuait aux nouveau-nés par </w:t>
      </w:r>
      <w:r w:rsidR="00736D6E" w:rsidRPr="008114DE">
        <w:t>l’allaitement</w:t>
      </w:r>
      <w:r w:rsidR="00736D6E">
        <w:t>,</w:t>
      </w:r>
      <w:r w:rsidR="00736D6E" w:rsidRPr="008114DE">
        <w:t xml:space="preserve"> </w:t>
      </w:r>
      <w:r w:rsidR="00736D6E">
        <w:t>faisant</w:t>
      </w:r>
      <w:r w:rsidR="00736D6E" w:rsidRPr="008114DE">
        <w:t xml:space="preserve"> espérer pour quelques</w:t>
      </w:r>
      <w:r w:rsidR="00736D6E">
        <w:t xml:space="preserve"> mois une protection du jeune nourrisson</w:t>
      </w:r>
      <w:r w:rsidR="00736D6E" w:rsidRPr="008114DE">
        <w:t>.</w:t>
      </w:r>
      <w:r w:rsidR="00736D6E">
        <w:t xml:space="preserve"> </w:t>
      </w:r>
      <w:r w:rsidR="00736D6E" w:rsidRPr="00454873">
        <w:rPr>
          <w:rStyle w:val="Lienhypertexte"/>
        </w:rPr>
        <w:t>(https://doi.</w:t>
      </w:r>
      <w:r w:rsidR="00736D6E">
        <w:rPr>
          <w:rStyle w:val="Lienhypertexte"/>
        </w:rPr>
        <w:t>org/10.1101/2021.03.07.21253094</w:t>
      </w:r>
      <w:r w:rsidR="00736D6E" w:rsidRPr="00454873">
        <w:t>).</w:t>
      </w:r>
      <w:r w:rsidR="00736D6E">
        <w:t xml:space="preserve"> </w:t>
      </w:r>
      <w:r w:rsidR="00AC115D">
        <w:t>Depuis leur</w:t>
      </w:r>
      <w:r w:rsidR="00AC115D" w:rsidRPr="00AC115D">
        <w:t xml:space="preserve"> mise sur le marché</w:t>
      </w:r>
      <w:r w:rsidR="00AC115D">
        <w:t>,</w:t>
      </w:r>
      <w:r w:rsidR="00AC115D" w:rsidRPr="00AC115D">
        <w:t xml:space="preserve"> le Centre de Référence sur les Agents Tératogènes (CRAT) en </w:t>
      </w:r>
      <w:r w:rsidR="00AC115D">
        <w:t>France (</w:t>
      </w:r>
      <w:hyperlink r:id="rId13" w:history="1">
        <w:r w:rsidR="00AC115D" w:rsidRPr="00C0534A">
          <w:rPr>
            <w:rStyle w:val="Lienhypertexte"/>
          </w:rPr>
          <w:t>https://lecrat.fr/spip.php?page=article&amp;id_article=1123</w:t>
        </w:r>
      </w:hyperlink>
      <w:r w:rsidR="00AC115D">
        <w:rPr>
          <w:rStyle w:val="Lienhypertexte"/>
        </w:rPr>
        <w:t>)</w:t>
      </w:r>
      <w:r w:rsidR="00AC115D">
        <w:t>, et les agences américaines et anglaises notamment o</w:t>
      </w:r>
      <w:r w:rsidR="00AC115D" w:rsidRPr="00AC115D">
        <w:t xml:space="preserve">nt recommandé qu’une femme allaitante faisant partie d'un </w:t>
      </w:r>
      <w:r w:rsidR="00AC115D">
        <w:t>groupe ciblé par la vaccination</w:t>
      </w:r>
      <w:r w:rsidR="00AC115D" w:rsidRPr="00AC115D">
        <w:t xml:space="preserve"> </w:t>
      </w:r>
      <w:r w:rsidR="00AC115D">
        <w:t>soit</w:t>
      </w:r>
      <w:r w:rsidR="00AC115D" w:rsidRPr="00AC115D">
        <w:t xml:space="preserve"> vac</w:t>
      </w:r>
      <w:r w:rsidR="00AC115D">
        <w:t>cinée</w:t>
      </w:r>
      <w:r w:rsidR="00AC115D" w:rsidRPr="00AC115D">
        <w:t xml:space="preserve">. </w:t>
      </w:r>
      <w:r w:rsidR="00AC115D">
        <w:t>Pour la HAS aussi,</w:t>
      </w:r>
      <w:r w:rsidR="00AC115D" w:rsidRPr="00AC115D">
        <w:t xml:space="preserve"> </w:t>
      </w:r>
      <w:r w:rsidR="00AC115D" w:rsidRPr="00AD71AA">
        <w:rPr>
          <w:i/>
        </w:rPr>
        <w:t xml:space="preserve">la vaccination chez la femme allaitante par vaccin à ARNm ou à vecteur viral est possible </w:t>
      </w:r>
      <w:r w:rsidR="00AC115D">
        <w:rPr>
          <w:i/>
        </w:rPr>
        <w:t xml:space="preserve">sans arrêter </w:t>
      </w:r>
      <w:r w:rsidR="00AC115D" w:rsidRPr="00AD71AA">
        <w:rPr>
          <w:i/>
        </w:rPr>
        <w:t>l’allaitement</w:t>
      </w:r>
      <w:r w:rsidR="00AC115D">
        <w:t>. A</w:t>
      </w:r>
      <w:r w:rsidR="00AC115D" w:rsidRPr="00BB2980">
        <w:t xml:space="preserve"> ce stade de la campagne de vaccination</w:t>
      </w:r>
      <w:r w:rsidR="00AC115D">
        <w:t xml:space="preserve"> néanmoins, </w:t>
      </w:r>
      <w:r w:rsidR="00AC115D" w:rsidRPr="00BB2980">
        <w:t>seules les professionnelles de santé et les femmes ayant un très haut risque de faire une forme grave de Covid-19 font partie de la liste des p</w:t>
      </w:r>
      <w:r w:rsidR="00AC115D">
        <w:t>ersonnes prioritaires</w:t>
      </w:r>
      <w:r w:rsidR="00AC115D" w:rsidRPr="00BB2980">
        <w:t>.</w:t>
      </w:r>
    </w:p>
    <w:p w14:paraId="15CE7F6A" w14:textId="47BA702E" w:rsidR="007730C2" w:rsidRPr="00AC115D" w:rsidRDefault="007730C2" w:rsidP="00AD71AA">
      <w:pPr>
        <w:widowControl w:val="0"/>
        <w:autoSpaceDE w:val="0"/>
        <w:autoSpaceDN w:val="0"/>
        <w:adjustRightInd w:val="0"/>
        <w:spacing w:after="0" w:line="240" w:lineRule="auto"/>
        <w:jc w:val="both"/>
      </w:pPr>
      <w:r w:rsidRPr="007730C2">
        <w:rPr>
          <w:b/>
        </w:rPr>
        <w:t>Très bonne efficacité vaccinale chez le</w:t>
      </w:r>
      <w:r>
        <w:rPr>
          <w:b/>
        </w:rPr>
        <w:t>s professionnels de santé (PS)</w:t>
      </w:r>
      <w:r w:rsidR="00B778F4">
        <w:t xml:space="preserve">. </w:t>
      </w:r>
      <w:r w:rsidRPr="00AC115D">
        <w:t>En Californie (</w:t>
      </w:r>
      <w:hyperlink r:id="rId14" w:history="1">
        <w:r w:rsidRPr="00AC115D">
          <w:rPr>
            <w:rStyle w:val="Lienhypertexte"/>
          </w:rPr>
          <w:t>https://www.nejm.org/doi/full/10.1056/NEJMc2101927</w:t>
        </w:r>
      </w:hyperlink>
      <w:r w:rsidRPr="00AC115D">
        <w:t xml:space="preserve">), deux centres </w:t>
      </w:r>
      <w:proofErr w:type="spellStart"/>
      <w:r w:rsidRPr="00AC115D">
        <w:t>poolant</w:t>
      </w:r>
      <w:proofErr w:type="spellEnd"/>
      <w:r w:rsidRPr="00AC115D">
        <w:t xml:space="preserve"> leurs résultats co</w:t>
      </w:r>
      <w:r>
        <w:t xml:space="preserve">nfirment la rareté des </w:t>
      </w:r>
      <w:r w:rsidRPr="00AC115D">
        <w:t xml:space="preserve">PCR </w:t>
      </w:r>
      <w:r>
        <w:t xml:space="preserve">SARS-CoV-2 </w:t>
      </w:r>
      <w:r w:rsidRPr="00AC115D">
        <w:t>positi</w:t>
      </w:r>
      <w:r w:rsidR="00B778F4">
        <w:t>ve</w:t>
      </w:r>
      <w:r w:rsidRPr="00AC115D">
        <w:t xml:space="preserve">s 14 jours après la </w:t>
      </w:r>
      <w:r>
        <w:t>2</w:t>
      </w:r>
      <w:r w:rsidRPr="00AC115D">
        <w:rPr>
          <w:vertAlign w:val="superscript"/>
        </w:rPr>
        <w:t>ème</w:t>
      </w:r>
      <w:r>
        <w:t xml:space="preserve"> </w:t>
      </w:r>
      <w:r w:rsidRPr="00AC115D">
        <w:t xml:space="preserve">dose </w:t>
      </w:r>
      <w:r w:rsidR="00571285">
        <w:t>du</w:t>
      </w:r>
      <w:r w:rsidRPr="00AC115D">
        <w:t xml:space="preserve"> vaccin </w:t>
      </w:r>
      <w:r w:rsidR="00B778F4">
        <w:t xml:space="preserve">(V2) </w:t>
      </w:r>
      <w:r w:rsidR="00571285">
        <w:t xml:space="preserve">de </w:t>
      </w:r>
      <w:r w:rsidRPr="00AC115D">
        <w:t>Pfizer</w:t>
      </w:r>
      <w:r>
        <w:t>-</w:t>
      </w:r>
      <w:proofErr w:type="spellStart"/>
      <w:r w:rsidRPr="00AC115D">
        <w:t>BioNt</w:t>
      </w:r>
      <w:r w:rsidR="00571285">
        <w:t>ech</w:t>
      </w:r>
      <w:proofErr w:type="spellEnd"/>
      <w:r>
        <w:t xml:space="preserve">. Entre le </w:t>
      </w:r>
      <w:r w:rsidR="00B778F4">
        <w:t>16/12/20</w:t>
      </w:r>
      <w:r>
        <w:t xml:space="preserve"> et le </w:t>
      </w:r>
      <w:r w:rsidR="00B778F4">
        <w:t>9/2/21</w:t>
      </w:r>
      <w:r>
        <w:t xml:space="preserve">, </w:t>
      </w:r>
      <w:r w:rsidRPr="00AC115D">
        <w:t xml:space="preserve">les PS sans antécédent de </w:t>
      </w:r>
      <w:proofErr w:type="spellStart"/>
      <w:r w:rsidRPr="00AC115D">
        <w:t>Covid</w:t>
      </w:r>
      <w:proofErr w:type="spellEnd"/>
      <w:r w:rsidRPr="00AC115D">
        <w:t xml:space="preserve"> ont été vaccinés dans les Universités de San Diego et </w:t>
      </w:r>
      <w:r w:rsidR="00B778F4">
        <w:t xml:space="preserve">de </w:t>
      </w:r>
      <w:r w:rsidRPr="00AC115D">
        <w:t>Los Angeles</w:t>
      </w:r>
      <w:r>
        <w:t xml:space="preserve"> : 36 </w:t>
      </w:r>
      <w:r w:rsidRPr="00AC115D">
        <w:t>659 PS ont reçu une dose et 77</w:t>
      </w:r>
      <w:r>
        <w:t xml:space="preserve"> </w:t>
      </w:r>
      <w:r w:rsidRPr="00AC115D">
        <w:t xml:space="preserve">% </w:t>
      </w:r>
      <w:r w:rsidR="00B778F4">
        <w:t>V2</w:t>
      </w:r>
      <w:r w:rsidRPr="00AC115D">
        <w:t xml:space="preserve">. </w:t>
      </w:r>
      <w:r w:rsidR="000E21BA">
        <w:t xml:space="preserve">Ils ont été suivis de manière hebdomadaire, avec  réalisation d’une </w:t>
      </w:r>
      <w:r w:rsidR="000E21BA" w:rsidRPr="00325893">
        <w:t xml:space="preserve">PCR sur prélèvement </w:t>
      </w:r>
      <w:proofErr w:type="spellStart"/>
      <w:r w:rsidR="000E21BA" w:rsidRPr="00325893">
        <w:t>n</w:t>
      </w:r>
      <w:r w:rsidR="000E21BA">
        <w:t>asopharyngé</w:t>
      </w:r>
      <w:proofErr w:type="spellEnd"/>
      <w:r w:rsidR="000E21BA" w:rsidRPr="00325893">
        <w:t xml:space="preserve"> </w:t>
      </w:r>
      <w:r w:rsidR="000E21BA">
        <w:t xml:space="preserve">qu’ils </w:t>
      </w:r>
      <w:r w:rsidR="000E21BA" w:rsidRPr="001419DC">
        <w:t xml:space="preserve">soient symptomatiques ou non </w:t>
      </w:r>
      <w:r w:rsidR="000E21BA" w:rsidRPr="006F549F">
        <w:t>(ce qui fait la force de cette étude)</w:t>
      </w:r>
      <w:r w:rsidR="00B778F4">
        <w:t xml:space="preserve">. </w:t>
      </w:r>
      <w:r w:rsidRPr="00AC115D">
        <w:t xml:space="preserve">Parmi les PS vaccinés, 379 personnes ont eu </w:t>
      </w:r>
      <w:r w:rsidR="000E21BA">
        <w:t xml:space="preserve">une PCR </w:t>
      </w:r>
      <w:r w:rsidRPr="00AC115D">
        <w:t xml:space="preserve">SARS-CoV-2 </w:t>
      </w:r>
      <w:r w:rsidR="00AB1CD8">
        <w:t xml:space="preserve">positive </w:t>
      </w:r>
      <w:r w:rsidRPr="00AC115D">
        <w:t xml:space="preserve">après </w:t>
      </w:r>
      <w:r w:rsidR="00AB1CD8">
        <w:t>la 1</w:t>
      </w:r>
      <w:r w:rsidR="00AB1CD8" w:rsidRPr="00AC115D">
        <w:rPr>
          <w:vertAlign w:val="superscript"/>
        </w:rPr>
        <w:t>ère</w:t>
      </w:r>
      <w:r w:rsidR="00AB1CD8">
        <w:t xml:space="preserve"> dose</w:t>
      </w:r>
      <w:r w:rsidRPr="00AC115D">
        <w:t>, dont 71</w:t>
      </w:r>
      <w:r w:rsidR="00AB1CD8">
        <w:t xml:space="preserve"> </w:t>
      </w:r>
      <w:r w:rsidRPr="00AC115D">
        <w:t xml:space="preserve">% dans les 15 </w:t>
      </w:r>
      <w:r w:rsidR="00AB1CD8">
        <w:t>premiers jours</w:t>
      </w:r>
      <w:r w:rsidR="00571285">
        <w:t xml:space="preserve">, 8 % dans les 14 jours qui suivent la </w:t>
      </w:r>
      <w:r w:rsidR="00B778F4">
        <w:t>V2</w:t>
      </w:r>
      <w:r w:rsidR="00571285">
        <w:t xml:space="preserve"> et seulement 1,8 % au-delà du 15</w:t>
      </w:r>
      <w:r w:rsidR="00571285" w:rsidRPr="00AC115D">
        <w:rPr>
          <w:vertAlign w:val="superscript"/>
        </w:rPr>
        <w:t>ème</w:t>
      </w:r>
      <w:r w:rsidR="00571285">
        <w:t xml:space="preserve"> jour après </w:t>
      </w:r>
      <w:r w:rsidR="00B778F4">
        <w:t>V2</w:t>
      </w:r>
      <w:r w:rsidRPr="00AC115D">
        <w:t xml:space="preserve">. </w:t>
      </w:r>
    </w:p>
    <w:p w14:paraId="0623C73C" w14:textId="259EEF03" w:rsidR="00ED01A0" w:rsidRDefault="007730C2" w:rsidP="00AD71AA">
      <w:pPr>
        <w:spacing w:line="240" w:lineRule="auto"/>
        <w:jc w:val="both"/>
      </w:pPr>
      <w:r w:rsidRPr="00AC115D">
        <w:t xml:space="preserve">En </w:t>
      </w:r>
      <w:proofErr w:type="spellStart"/>
      <w:r w:rsidRPr="00AC115D">
        <w:t>Israel</w:t>
      </w:r>
      <w:proofErr w:type="spellEnd"/>
      <w:r w:rsidRPr="00AC115D">
        <w:t xml:space="preserve"> (</w:t>
      </w:r>
      <w:hyperlink r:id="rId15" w:history="1">
        <w:r w:rsidR="002E30E6" w:rsidRPr="005D40B2">
          <w:rPr>
            <w:rStyle w:val="Lienhypertexte"/>
          </w:rPr>
          <w:t>https://www.nejm.org/doi/full/10.1056/NEJMc2101951</w:t>
        </w:r>
      </w:hyperlink>
      <w:r w:rsidR="00DF2F3D">
        <w:t>), l</w:t>
      </w:r>
      <w:r w:rsidRPr="00AC115D">
        <w:t>e “</w:t>
      </w:r>
      <w:proofErr w:type="spellStart"/>
      <w:r w:rsidRPr="00AC115D">
        <w:t>Hadassah</w:t>
      </w:r>
      <w:proofErr w:type="spellEnd"/>
      <w:r w:rsidRPr="00AC115D">
        <w:t xml:space="preserve"> </w:t>
      </w:r>
      <w:proofErr w:type="spellStart"/>
      <w:r w:rsidRPr="00AC115D">
        <w:t>Hebrew</w:t>
      </w:r>
      <w:proofErr w:type="spellEnd"/>
      <w:r w:rsidRPr="00AC115D">
        <w:t xml:space="preserve"> </w:t>
      </w:r>
      <w:proofErr w:type="spellStart"/>
      <w:r w:rsidRPr="00AC115D">
        <w:t>University</w:t>
      </w:r>
      <w:proofErr w:type="spellEnd"/>
      <w:r w:rsidRPr="00AC115D">
        <w:t xml:space="preserve"> </w:t>
      </w:r>
      <w:proofErr w:type="spellStart"/>
      <w:r w:rsidRPr="00AC115D">
        <w:t>Medical</w:t>
      </w:r>
      <w:proofErr w:type="spellEnd"/>
      <w:r w:rsidRPr="00AC115D">
        <w:t xml:space="preserve"> Center”, de Jérusalem a évalué l’efficacité vaccinale chez leurs PS (N=6</w:t>
      </w:r>
      <w:r w:rsidR="00F471AD">
        <w:t xml:space="preserve">680) avec un dépistage proactif </w:t>
      </w:r>
      <w:r w:rsidRPr="00AC115D">
        <w:t xml:space="preserve">périodique pour SARS-CoV-2. </w:t>
      </w:r>
      <w:r w:rsidR="00F471AD">
        <w:t xml:space="preserve">En 8 semaines, </w:t>
      </w:r>
      <w:r w:rsidR="00F471AD" w:rsidRPr="009C57F4">
        <w:t>8</w:t>
      </w:r>
      <w:r w:rsidR="00F471AD">
        <w:t xml:space="preserve">5 </w:t>
      </w:r>
      <w:r w:rsidR="00F471AD" w:rsidRPr="009C57F4">
        <w:t>% de</w:t>
      </w:r>
      <w:r w:rsidR="00F471AD">
        <w:t>s</w:t>
      </w:r>
      <w:r w:rsidR="00F471AD" w:rsidRPr="009C57F4">
        <w:t xml:space="preserve"> PS sans antécédents de Covid</w:t>
      </w:r>
      <w:r w:rsidR="00F471AD">
        <w:t>-19 ont été vaccinés par le</w:t>
      </w:r>
      <w:r w:rsidRPr="00AC115D">
        <w:t xml:space="preserve"> vaccin </w:t>
      </w:r>
      <w:r w:rsidR="002F5DE6">
        <w:t>de Pfizer-</w:t>
      </w:r>
      <w:proofErr w:type="spellStart"/>
      <w:r w:rsidR="00F471AD">
        <w:t>BioNtech</w:t>
      </w:r>
      <w:proofErr w:type="spellEnd"/>
      <w:r w:rsidR="00F471AD">
        <w:t xml:space="preserve"> à partir du </w:t>
      </w:r>
      <w:r w:rsidR="009D46D3">
        <w:t>20 d</w:t>
      </w:r>
      <w:r w:rsidRPr="00AC115D">
        <w:t>écembre 2020</w:t>
      </w:r>
      <w:r w:rsidR="00F471AD">
        <w:t xml:space="preserve">. </w:t>
      </w:r>
      <w:r w:rsidRPr="00AC115D">
        <w:t xml:space="preserve">La </w:t>
      </w:r>
      <w:r w:rsidR="009D46D3">
        <w:t>2</w:t>
      </w:r>
      <w:r w:rsidR="009D46D3" w:rsidRPr="00AC115D">
        <w:rPr>
          <w:vertAlign w:val="superscript"/>
        </w:rPr>
        <w:t>ème</w:t>
      </w:r>
      <w:r w:rsidR="009D46D3">
        <w:t xml:space="preserve"> dose a été administrée à 99 </w:t>
      </w:r>
      <w:r w:rsidRPr="00AC115D">
        <w:t xml:space="preserve">% des PS ayant reçu la </w:t>
      </w:r>
      <w:r w:rsidR="009D46D3">
        <w:t>1</w:t>
      </w:r>
      <w:r w:rsidR="009D46D3" w:rsidRPr="00AC115D">
        <w:rPr>
          <w:vertAlign w:val="superscript"/>
        </w:rPr>
        <w:t>ère</w:t>
      </w:r>
      <w:r w:rsidR="009D46D3">
        <w:t xml:space="preserve"> dose </w:t>
      </w:r>
      <w:r w:rsidRPr="00AC115D">
        <w:t xml:space="preserve">et non infectés </w:t>
      </w:r>
      <w:r w:rsidR="00F471AD">
        <w:t xml:space="preserve">à J21.   </w:t>
      </w:r>
      <w:r w:rsidRPr="00AC115D">
        <w:t xml:space="preserve">Parmi les vaccinés, l’incidence hebdomadaire de l’infection </w:t>
      </w:r>
      <w:r w:rsidR="00D70410">
        <w:t>par le SARS-CoV-2</w:t>
      </w:r>
      <w:r w:rsidRPr="00AC115D">
        <w:t xml:space="preserve"> a diminué notablement au-delà de J15 post dose 1 et encore plus ensuite, restant basse après la 4</w:t>
      </w:r>
      <w:r w:rsidR="00D70410" w:rsidRPr="00AC115D">
        <w:rPr>
          <w:vertAlign w:val="superscript"/>
        </w:rPr>
        <w:t>ème</w:t>
      </w:r>
      <w:r w:rsidR="00D70410">
        <w:t xml:space="preserve"> </w:t>
      </w:r>
      <w:r w:rsidRPr="00AC115D">
        <w:t>semaine. La limite de l’étude est l’absence de tests systématiques c</w:t>
      </w:r>
      <w:r w:rsidR="00D70410">
        <w:t>hez les vaccinés</w:t>
      </w:r>
      <w:r w:rsidRPr="00AC115D">
        <w:t>.</w:t>
      </w:r>
    </w:p>
    <w:p w14:paraId="2E3B7065" w14:textId="3F61723C" w:rsidR="00ED01A0" w:rsidRPr="00AD71AA" w:rsidRDefault="00ED01A0" w:rsidP="00AD71AA">
      <w:pPr>
        <w:spacing w:line="240" w:lineRule="auto"/>
        <w:jc w:val="both"/>
        <w:rPr>
          <w:i/>
          <w:sz w:val="18"/>
        </w:rPr>
      </w:pPr>
      <w:r w:rsidRPr="00AD71AA">
        <w:rPr>
          <w:i/>
          <w:sz w:val="18"/>
        </w:rPr>
        <w:t xml:space="preserve">Rédacteurs : </w:t>
      </w:r>
      <w:r w:rsidR="00D64A56" w:rsidRPr="00AD71AA">
        <w:rPr>
          <w:i/>
          <w:sz w:val="18"/>
        </w:rPr>
        <w:t xml:space="preserve">Aurélie </w:t>
      </w:r>
      <w:proofErr w:type="spellStart"/>
      <w:r w:rsidR="00D64A56" w:rsidRPr="00AD71AA">
        <w:rPr>
          <w:i/>
          <w:sz w:val="18"/>
        </w:rPr>
        <w:t>Baldolli</w:t>
      </w:r>
      <w:proofErr w:type="spellEnd"/>
      <w:r w:rsidR="00D64A56" w:rsidRPr="00AD71AA">
        <w:rPr>
          <w:i/>
          <w:sz w:val="18"/>
        </w:rPr>
        <w:t xml:space="preserve">, </w:t>
      </w:r>
      <w:r w:rsidRPr="00AD71AA">
        <w:rPr>
          <w:i/>
          <w:sz w:val="18"/>
        </w:rPr>
        <w:t>Robert Cohen, Véronique Dufour, Maeva Lefebvre</w:t>
      </w:r>
      <w:r w:rsidR="00D64A56" w:rsidRPr="00AD71AA">
        <w:rPr>
          <w:i/>
          <w:sz w:val="18"/>
        </w:rPr>
        <w:t xml:space="preserve">, Isabelle </w:t>
      </w:r>
      <w:proofErr w:type="spellStart"/>
      <w:r w:rsidR="00D64A56" w:rsidRPr="00AD71AA">
        <w:rPr>
          <w:i/>
          <w:sz w:val="18"/>
        </w:rPr>
        <w:t>Hau</w:t>
      </w:r>
      <w:proofErr w:type="spellEnd"/>
      <w:r w:rsidR="00D64A56" w:rsidRPr="00AD71AA">
        <w:rPr>
          <w:i/>
          <w:sz w:val="18"/>
        </w:rPr>
        <w:t xml:space="preserve">, Jocelyn Michon, Catherine Olivier, Didier </w:t>
      </w:r>
      <w:proofErr w:type="spellStart"/>
      <w:r w:rsidR="00D64A56" w:rsidRPr="00AD71AA">
        <w:rPr>
          <w:i/>
          <w:sz w:val="18"/>
        </w:rPr>
        <w:t>Pinquier</w:t>
      </w:r>
      <w:proofErr w:type="spellEnd"/>
    </w:p>
    <w:p w14:paraId="10A4DCA6" w14:textId="64470657" w:rsidR="001E1E02" w:rsidRPr="007730C2" w:rsidRDefault="001E1E02">
      <w:pPr>
        <w:spacing w:after="60"/>
        <w:jc w:val="both"/>
      </w:pPr>
    </w:p>
    <w:sectPr w:rsidR="001E1E02" w:rsidRPr="007730C2" w:rsidSect="00AD71AA">
      <w:pgSz w:w="11906" w:h="16838"/>
      <w:pgMar w:top="454" w:right="567" w:bottom="454" w:left="56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B18E52" w16cid:durableId="2406D0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011BF"/>
    <w:multiLevelType w:val="hybridMultilevel"/>
    <w:tmpl w:val="E5AC8B0C"/>
    <w:lvl w:ilvl="0" w:tplc="C21084E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22"/>
    <w:rsid w:val="00022872"/>
    <w:rsid w:val="00091719"/>
    <w:rsid w:val="0009356B"/>
    <w:rsid w:val="000B1E9F"/>
    <w:rsid w:val="000C1F6C"/>
    <w:rsid w:val="000C62A9"/>
    <w:rsid w:val="000E21BA"/>
    <w:rsid w:val="000E671D"/>
    <w:rsid w:val="00103333"/>
    <w:rsid w:val="00126E3F"/>
    <w:rsid w:val="001439EA"/>
    <w:rsid w:val="00160544"/>
    <w:rsid w:val="00187C15"/>
    <w:rsid w:val="001A2BF0"/>
    <w:rsid w:val="001D0F2F"/>
    <w:rsid w:val="001E1E02"/>
    <w:rsid w:val="001E6191"/>
    <w:rsid w:val="002052CE"/>
    <w:rsid w:val="002672E4"/>
    <w:rsid w:val="002C5187"/>
    <w:rsid w:val="002D3D60"/>
    <w:rsid w:val="002E30E6"/>
    <w:rsid w:val="002F5DE6"/>
    <w:rsid w:val="00345092"/>
    <w:rsid w:val="0035157D"/>
    <w:rsid w:val="00396E81"/>
    <w:rsid w:val="003C432B"/>
    <w:rsid w:val="003E1262"/>
    <w:rsid w:val="003F2923"/>
    <w:rsid w:val="00423127"/>
    <w:rsid w:val="00435920"/>
    <w:rsid w:val="004435E8"/>
    <w:rsid w:val="00454873"/>
    <w:rsid w:val="004658D1"/>
    <w:rsid w:val="00470CB5"/>
    <w:rsid w:val="00471730"/>
    <w:rsid w:val="0047246C"/>
    <w:rsid w:val="00481615"/>
    <w:rsid w:val="00485B7D"/>
    <w:rsid w:val="004A2FBC"/>
    <w:rsid w:val="004B293E"/>
    <w:rsid w:val="004B7690"/>
    <w:rsid w:val="004D2F97"/>
    <w:rsid w:val="004D6A08"/>
    <w:rsid w:val="004F63E0"/>
    <w:rsid w:val="005272C3"/>
    <w:rsid w:val="00560445"/>
    <w:rsid w:val="00571285"/>
    <w:rsid w:val="005A3E1C"/>
    <w:rsid w:val="005C45B1"/>
    <w:rsid w:val="00647EA2"/>
    <w:rsid w:val="00693B00"/>
    <w:rsid w:val="006A4896"/>
    <w:rsid w:val="006A4C63"/>
    <w:rsid w:val="006C3E47"/>
    <w:rsid w:val="006D1122"/>
    <w:rsid w:val="00716C28"/>
    <w:rsid w:val="00736D6E"/>
    <w:rsid w:val="00741EF2"/>
    <w:rsid w:val="00742171"/>
    <w:rsid w:val="007604C0"/>
    <w:rsid w:val="007730C2"/>
    <w:rsid w:val="007B008A"/>
    <w:rsid w:val="007C365F"/>
    <w:rsid w:val="007D1A69"/>
    <w:rsid w:val="007F1564"/>
    <w:rsid w:val="008114DE"/>
    <w:rsid w:val="008155FB"/>
    <w:rsid w:val="008225CD"/>
    <w:rsid w:val="00822AE7"/>
    <w:rsid w:val="008274EC"/>
    <w:rsid w:val="00844AFB"/>
    <w:rsid w:val="00855798"/>
    <w:rsid w:val="00855908"/>
    <w:rsid w:val="00871098"/>
    <w:rsid w:val="00877332"/>
    <w:rsid w:val="00895560"/>
    <w:rsid w:val="008E3FD9"/>
    <w:rsid w:val="009411C5"/>
    <w:rsid w:val="00965CE0"/>
    <w:rsid w:val="009A1837"/>
    <w:rsid w:val="009A4F72"/>
    <w:rsid w:val="009A5859"/>
    <w:rsid w:val="009A620E"/>
    <w:rsid w:val="009D46D3"/>
    <w:rsid w:val="009F0068"/>
    <w:rsid w:val="00A130C9"/>
    <w:rsid w:val="00A42093"/>
    <w:rsid w:val="00A758E9"/>
    <w:rsid w:val="00A90D2F"/>
    <w:rsid w:val="00A94A66"/>
    <w:rsid w:val="00A9531C"/>
    <w:rsid w:val="00AB1CD8"/>
    <w:rsid w:val="00AC115D"/>
    <w:rsid w:val="00AD71AA"/>
    <w:rsid w:val="00B23A49"/>
    <w:rsid w:val="00B54EBF"/>
    <w:rsid w:val="00B71D4A"/>
    <w:rsid w:val="00B72C2C"/>
    <w:rsid w:val="00B778F4"/>
    <w:rsid w:val="00B77E11"/>
    <w:rsid w:val="00B82CE7"/>
    <w:rsid w:val="00BB2980"/>
    <w:rsid w:val="00C0289C"/>
    <w:rsid w:val="00C56C08"/>
    <w:rsid w:val="00C60EA6"/>
    <w:rsid w:val="00CC3B7E"/>
    <w:rsid w:val="00CF39A1"/>
    <w:rsid w:val="00D338F8"/>
    <w:rsid w:val="00D46FA3"/>
    <w:rsid w:val="00D64A56"/>
    <w:rsid w:val="00D70410"/>
    <w:rsid w:val="00DD288F"/>
    <w:rsid w:val="00DE1AFD"/>
    <w:rsid w:val="00DE2424"/>
    <w:rsid w:val="00DF2F3D"/>
    <w:rsid w:val="00E04823"/>
    <w:rsid w:val="00E30765"/>
    <w:rsid w:val="00E57DD7"/>
    <w:rsid w:val="00EC4C21"/>
    <w:rsid w:val="00EC7513"/>
    <w:rsid w:val="00ED01A0"/>
    <w:rsid w:val="00ED68BA"/>
    <w:rsid w:val="00F407C0"/>
    <w:rsid w:val="00F471AD"/>
    <w:rsid w:val="00F71374"/>
    <w:rsid w:val="00F839A9"/>
    <w:rsid w:val="00F958B0"/>
    <w:rsid w:val="00FB3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D3D60"/>
    <w:pPr>
      <w:spacing w:before="300" w:after="100" w:afterAutospacing="1" w:line="360" w:lineRule="atLeast"/>
      <w:outlineLvl w:val="0"/>
    </w:pPr>
    <w:rPr>
      <w:rFonts w:ascii="Times New Roman" w:eastAsia="Times New Roman" w:hAnsi="Times New Roman" w:cs="Times New Roman"/>
      <w:b/>
      <w:bCs/>
      <w:kern w:val="36"/>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3D60"/>
    <w:rPr>
      <w:rFonts w:ascii="Times New Roman" w:eastAsia="Times New Roman" w:hAnsi="Times New Roman" w:cs="Times New Roman"/>
      <w:b/>
      <w:bCs/>
      <w:kern w:val="36"/>
      <w:sz w:val="27"/>
      <w:szCs w:val="27"/>
      <w:lang w:eastAsia="fr-FR"/>
    </w:rPr>
  </w:style>
  <w:style w:type="table" w:styleId="Grilledutableau">
    <w:name w:val="Table Grid"/>
    <w:basedOn w:val="TableauNormal"/>
    <w:uiPriority w:val="39"/>
    <w:rsid w:val="002D3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60544"/>
    <w:rPr>
      <w:color w:val="0563C1" w:themeColor="hyperlink"/>
      <w:u w:val="single"/>
    </w:rPr>
  </w:style>
  <w:style w:type="paragraph" w:styleId="Textedebulles">
    <w:name w:val="Balloon Text"/>
    <w:basedOn w:val="Normal"/>
    <w:link w:val="TextedebullesCar"/>
    <w:uiPriority w:val="99"/>
    <w:semiHidden/>
    <w:unhideWhenUsed/>
    <w:rsid w:val="002672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72E4"/>
    <w:rPr>
      <w:rFonts w:ascii="Tahoma" w:hAnsi="Tahoma" w:cs="Tahoma"/>
      <w:sz w:val="16"/>
      <w:szCs w:val="16"/>
    </w:rPr>
  </w:style>
  <w:style w:type="character" w:styleId="lev">
    <w:name w:val="Strong"/>
    <w:basedOn w:val="Policepardfaut"/>
    <w:uiPriority w:val="22"/>
    <w:qFormat/>
    <w:rsid w:val="001E1E02"/>
    <w:rPr>
      <w:b/>
      <w:bCs/>
    </w:rPr>
  </w:style>
  <w:style w:type="character" w:styleId="Accentuation">
    <w:name w:val="Emphasis"/>
    <w:basedOn w:val="Policepardfaut"/>
    <w:uiPriority w:val="20"/>
    <w:qFormat/>
    <w:rsid w:val="001E1E02"/>
    <w:rPr>
      <w:i/>
      <w:iCs/>
    </w:rPr>
  </w:style>
  <w:style w:type="character" w:styleId="Marquedecommentaire">
    <w:name w:val="annotation reference"/>
    <w:basedOn w:val="Policepardfaut"/>
    <w:uiPriority w:val="99"/>
    <w:semiHidden/>
    <w:unhideWhenUsed/>
    <w:rsid w:val="004B7690"/>
    <w:rPr>
      <w:sz w:val="16"/>
      <w:szCs w:val="16"/>
    </w:rPr>
  </w:style>
  <w:style w:type="paragraph" w:styleId="Commentaire">
    <w:name w:val="annotation text"/>
    <w:basedOn w:val="Normal"/>
    <w:link w:val="CommentaireCar"/>
    <w:uiPriority w:val="99"/>
    <w:semiHidden/>
    <w:unhideWhenUsed/>
    <w:rsid w:val="004B7690"/>
    <w:pPr>
      <w:spacing w:line="240" w:lineRule="auto"/>
    </w:pPr>
    <w:rPr>
      <w:sz w:val="20"/>
      <w:szCs w:val="20"/>
    </w:rPr>
  </w:style>
  <w:style w:type="character" w:customStyle="1" w:styleId="CommentaireCar">
    <w:name w:val="Commentaire Car"/>
    <w:basedOn w:val="Policepardfaut"/>
    <w:link w:val="Commentaire"/>
    <w:uiPriority w:val="99"/>
    <w:semiHidden/>
    <w:rsid w:val="004B7690"/>
    <w:rPr>
      <w:sz w:val="20"/>
      <w:szCs w:val="20"/>
    </w:rPr>
  </w:style>
  <w:style w:type="paragraph" w:styleId="Objetducommentaire">
    <w:name w:val="annotation subject"/>
    <w:basedOn w:val="Commentaire"/>
    <w:next w:val="Commentaire"/>
    <w:link w:val="ObjetducommentaireCar"/>
    <w:uiPriority w:val="99"/>
    <w:semiHidden/>
    <w:unhideWhenUsed/>
    <w:rsid w:val="004B7690"/>
    <w:rPr>
      <w:b/>
      <w:bCs/>
    </w:rPr>
  </w:style>
  <w:style w:type="character" w:customStyle="1" w:styleId="ObjetducommentaireCar">
    <w:name w:val="Objet du commentaire Car"/>
    <w:basedOn w:val="CommentaireCar"/>
    <w:link w:val="Objetducommentaire"/>
    <w:uiPriority w:val="99"/>
    <w:semiHidden/>
    <w:rsid w:val="004B7690"/>
    <w:rPr>
      <w:b/>
      <w:bCs/>
      <w:sz w:val="20"/>
      <w:szCs w:val="20"/>
    </w:rPr>
  </w:style>
  <w:style w:type="character" w:styleId="Lienhypertextesuivivisit">
    <w:name w:val="FollowedHyperlink"/>
    <w:basedOn w:val="Policepardfaut"/>
    <w:uiPriority w:val="99"/>
    <w:semiHidden/>
    <w:unhideWhenUsed/>
    <w:rsid w:val="00DE2424"/>
    <w:rPr>
      <w:color w:val="954F72" w:themeColor="followedHyperlink"/>
      <w:u w:val="single"/>
    </w:rPr>
  </w:style>
  <w:style w:type="character" w:customStyle="1" w:styleId="spipnoteref">
    <w:name w:val="spip_note_ref"/>
    <w:basedOn w:val="Policepardfaut"/>
    <w:rsid w:val="00DE2424"/>
  </w:style>
  <w:style w:type="character" w:customStyle="1" w:styleId="UnresolvedMention">
    <w:name w:val="Unresolved Mention"/>
    <w:basedOn w:val="Policepardfaut"/>
    <w:uiPriority w:val="99"/>
    <w:semiHidden/>
    <w:unhideWhenUsed/>
    <w:rsid w:val="00DE2424"/>
    <w:rPr>
      <w:color w:val="605E5C"/>
      <w:shd w:val="clear" w:color="auto" w:fill="E1DFDD"/>
    </w:rPr>
  </w:style>
  <w:style w:type="paragraph" w:styleId="Paragraphedeliste">
    <w:name w:val="List Paragraph"/>
    <w:basedOn w:val="Normal"/>
    <w:uiPriority w:val="34"/>
    <w:qFormat/>
    <w:rsid w:val="007730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D3D60"/>
    <w:pPr>
      <w:spacing w:before="300" w:after="100" w:afterAutospacing="1" w:line="360" w:lineRule="atLeast"/>
      <w:outlineLvl w:val="0"/>
    </w:pPr>
    <w:rPr>
      <w:rFonts w:ascii="Times New Roman" w:eastAsia="Times New Roman" w:hAnsi="Times New Roman" w:cs="Times New Roman"/>
      <w:b/>
      <w:bCs/>
      <w:kern w:val="36"/>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3D60"/>
    <w:rPr>
      <w:rFonts w:ascii="Times New Roman" w:eastAsia="Times New Roman" w:hAnsi="Times New Roman" w:cs="Times New Roman"/>
      <w:b/>
      <w:bCs/>
      <w:kern w:val="36"/>
      <w:sz w:val="27"/>
      <w:szCs w:val="27"/>
      <w:lang w:eastAsia="fr-FR"/>
    </w:rPr>
  </w:style>
  <w:style w:type="table" w:styleId="Grilledutableau">
    <w:name w:val="Table Grid"/>
    <w:basedOn w:val="TableauNormal"/>
    <w:uiPriority w:val="39"/>
    <w:rsid w:val="002D3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60544"/>
    <w:rPr>
      <w:color w:val="0563C1" w:themeColor="hyperlink"/>
      <w:u w:val="single"/>
    </w:rPr>
  </w:style>
  <w:style w:type="paragraph" w:styleId="Textedebulles">
    <w:name w:val="Balloon Text"/>
    <w:basedOn w:val="Normal"/>
    <w:link w:val="TextedebullesCar"/>
    <w:uiPriority w:val="99"/>
    <w:semiHidden/>
    <w:unhideWhenUsed/>
    <w:rsid w:val="002672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72E4"/>
    <w:rPr>
      <w:rFonts w:ascii="Tahoma" w:hAnsi="Tahoma" w:cs="Tahoma"/>
      <w:sz w:val="16"/>
      <w:szCs w:val="16"/>
    </w:rPr>
  </w:style>
  <w:style w:type="character" w:styleId="lev">
    <w:name w:val="Strong"/>
    <w:basedOn w:val="Policepardfaut"/>
    <w:uiPriority w:val="22"/>
    <w:qFormat/>
    <w:rsid w:val="001E1E02"/>
    <w:rPr>
      <w:b/>
      <w:bCs/>
    </w:rPr>
  </w:style>
  <w:style w:type="character" w:styleId="Accentuation">
    <w:name w:val="Emphasis"/>
    <w:basedOn w:val="Policepardfaut"/>
    <w:uiPriority w:val="20"/>
    <w:qFormat/>
    <w:rsid w:val="001E1E02"/>
    <w:rPr>
      <w:i/>
      <w:iCs/>
    </w:rPr>
  </w:style>
  <w:style w:type="character" w:styleId="Marquedecommentaire">
    <w:name w:val="annotation reference"/>
    <w:basedOn w:val="Policepardfaut"/>
    <w:uiPriority w:val="99"/>
    <w:semiHidden/>
    <w:unhideWhenUsed/>
    <w:rsid w:val="004B7690"/>
    <w:rPr>
      <w:sz w:val="16"/>
      <w:szCs w:val="16"/>
    </w:rPr>
  </w:style>
  <w:style w:type="paragraph" w:styleId="Commentaire">
    <w:name w:val="annotation text"/>
    <w:basedOn w:val="Normal"/>
    <w:link w:val="CommentaireCar"/>
    <w:uiPriority w:val="99"/>
    <w:semiHidden/>
    <w:unhideWhenUsed/>
    <w:rsid w:val="004B7690"/>
    <w:pPr>
      <w:spacing w:line="240" w:lineRule="auto"/>
    </w:pPr>
    <w:rPr>
      <w:sz w:val="20"/>
      <w:szCs w:val="20"/>
    </w:rPr>
  </w:style>
  <w:style w:type="character" w:customStyle="1" w:styleId="CommentaireCar">
    <w:name w:val="Commentaire Car"/>
    <w:basedOn w:val="Policepardfaut"/>
    <w:link w:val="Commentaire"/>
    <w:uiPriority w:val="99"/>
    <w:semiHidden/>
    <w:rsid w:val="004B7690"/>
    <w:rPr>
      <w:sz w:val="20"/>
      <w:szCs w:val="20"/>
    </w:rPr>
  </w:style>
  <w:style w:type="paragraph" w:styleId="Objetducommentaire">
    <w:name w:val="annotation subject"/>
    <w:basedOn w:val="Commentaire"/>
    <w:next w:val="Commentaire"/>
    <w:link w:val="ObjetducommentaireCar"/>
    <w:uiPriority w:val="99"/>
    <w:semiHidden/>
    <w:unhideWhenUsed/>
    <w:rsid w:val="004B7690"/>
    <w:rPr>
      <w:b/>
      <w:bCs/>
    </w:rPr>
  </w:style>
  <w:style w:type="character" w:customStyle="1" w:styleId="ObjetducommentaireCar">
    <w:name w:val="Objet du commentaire Car"/>
    <w:basedOn w:val="CommentaireCar"/>
    <w:link w:val="Objetducommentaire"/>
    <w:uiPriority w:val="99"/>
    <w:semiHidden/>
    <w:rsid w:val="004B7690"/>
    <w:rPr>
      <w:b/>
      <w:bCs/>
      <w:sz w:val="20"/>
      <w:szCs w:val="20"/>
    </w:rPr>
  </w:style>
  <w:style w:type="character" w:styleId="Lienhypertextesuivivisit">
    <w:name w:val="FollowedHyperlink"/>
    <w:basedOn w:val="Policepardfaut"/>
    <w:uiPriority w:val="99"/>
    <w:semiHidden/>
    <w:unhideWhenUsed/>
    <w:rsid w:val="00DE2424"/>
    <w:rPr>
      <w:color w:val="954F72" w:themeColor="followedHyperlink"/>
      <w:u w:val="single"/>
    </w:rPr>
  </w:style>
  <w:style w:type="character" w:customStyle="1" w:styleId="spipnoteref">
    <w:name w:val="spip_note_ref"/>
    <w:basedOn w:val="Policepardfaut"/>
    <w:rsid w:val="00DE2424"/>
  </w:style>
  <w:style w:type="character" w:customStyle="1" w:styleId="UnresolvedMention">
    <w:name w:val="Unresolved Mention"/>
    <w:basedOn w:val="Policepardfaut"/>
    <w:uiPriority w:val="99"/>
    <w:semiHidden/>
    <w:unhideWhenUsed/>
    <w:rsid w:val="00DE2424"/>
    <w:rPr>
      <w:color w:val="605E5C"/>
      <w:shd w:val="clear" w:color="auto" w:fill="E1DFDD"/>
    </w:rPr>
  </w:style>
  <w:style w:type="paragraph" w:styleId="Paragraphedeliste">
    <w:name w:val="List Paragraph"/>
    <w:basedOn w:val="Normal"/>
    <w:uiPriority w:val="34"/>
    <w:qFormat/>
    <w:rsid w:val="00773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79903">
      <w:bodyDiv w:val="1"/>
      <w:marLeft w:val="0"/>
      <w:marRight w:val="0"/>
      <w:marTop w:val="0"/>
      <w:marBottom w:val="0"/>
      <w:divBdr>
        <w:top w:val="none" w:sz="0" w:space="0" w:color="auto"/>
        <w:left w:val="none" w:sz="0" w:space="0" w:color="auto"/>
        <w:bottom w:val="none" w:sz="0" w:space="0" w:color="auto"/>
        <w:right w:val="none" w:sz="0" w:space="0" w:color="auto"/>
      </w:divBdr>
    </w:div>
    <w:div w:id="1328358536">
      <w:bodyDiv w:val="1"/>
      <w:marLeft w:val="0"/>
      <w:marRight w:val="0"/>
      <w:marTop w:val="0"/>
      <w:marBottom w:val="0"/>
      <w:divBdr>
        <w:top w:val="none" w:sz="0" w:space="0" w:color="auto"/>
        <w:left w:val="none" w:sz="0" w:space="0" w:color="auto"/>
        <w:bottom w:val="none" w:sz="0" w:space="0" w:color="auto"/>
        <w:right w:val="none" w:sz="0" w:space="0" w:color="auto"/>
      </w:divBdr>
    </w:div>
    <w:div w:id="1960599016">
      <w:bodyDiv w:val="1"/>
      <w:marLeft w:val="0"/>
      <w:marRight w:val="0"/>
      <w:marTop w:val="0"/>
      <w:marBottom w:val="0"/>
      <w:divBdr>
        <w:top w:val="none" w:sz="0" w:space="0" w:color="auto"/>
        <w:left w:val="none" w:sz="0" w:space="0" w:color="auto"/>
        <w:bottom w:val="none" w:sz="0" w:space="0" w:color="auto"/>
        <w:right w:val="none" w:sz="0" w:space="0" w:color="auto"/>
      </w:divBdr>
    </w:div>
    <w:div w:id="21351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crat.fr/spip.php?page=article&amp;id_article=1123"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gth-online.org/wp-content/uploads/2021/03/GTH_Stellungnahme_AstraZeneca_engl._3_22_2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972833/COVID-19_AstraZeneca_Vaccine_Analysis_Print.pdf" TargetMode="External"/><Relationship Id="rId5" Type="http://schemas.openxmlformats.org/officeDocument/2006/relationships/settings" Target="settings.xml"/><Relationship Id="rId15" Type="http://schemas.openxmlformats.org/officeDocument/2006/relationships/hyperlink" Target="https://www.nejm.org/doi/full/10.1056/NEJMc2101951" TargetMode="External"/><Relationship Id="rId10" Type="http://schemas.openxmlformats.org/officeDocument/2006/relationships/hyperlink" Target="https://ansm.sante.fr/dossiers-thematiques/covid-19-vaccins" TargetMode="External"/><Relationship Id="rId4" Type="http://schemas.microsoft.com/office/2007/relationships/stylesWithEffects" Target="stylesWithEffects.xml"/><Relationship Id="rId9" Type="http://schemas.openxmlformats.org/officeDocument/2006/relationships/hyperlink" Target="https://solidarites-sante.gouv.fr/actualites/presse/communiques-de-presse/" TargetMode="External"/><Relationship Id="rId14" Type="http://schemas.openxmlformats.org/officeDocument/2006/relationships/hyperlink" Target="https://www.nejm.org/doi/full/10.1056/NEJMc21019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253A-1A27-476E-BFAF-29B503F0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Pages>
  <Words>974</Words>
  <Characters>5361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CHU Nantes</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LEFEBVRE Maeva</dc:creator>
  <cp:lastModifiedBy>LEFEBVRE Maeva</cp:lastModifiedBy>
  <cp:revision>22</cp:revision>
  <dcterms:created xsi:type="dcterms:W3CDTF">2021-03-25T13:24:00Z</dcterms:created>
  <dcterms:modified xsi:type="dcterms:W3CDTF">2021-04-01T15:30:00Z</dcterms:modified>
</cp:coreProperties>
</file>