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65" w:rsidRPr="00481615" w:rsidRDefault="00F839A9" w:rsidP="00B82CE7">
      <w:pPr>
        <w:spacing w:after="120" w:line="240" w:lineRule="auto"/>
        <w:rPr>
          <w:rFonts w:ascii="Bell MT" w:hAnsi="Bell MT"/>
          <w:b/>
          <w:sz w:val="26"/>
          <w:szCs w:val="26"/>
          <w:lang w:val="en-US"/>
        </w:rPr>
      </w:pPr>
      <w:r w:rsidRPr="00481615">
        <w:rPr>
          <w:rFonts w:ascii="Bell MT" w:hAnsi="Bell MT"/>
          <w:b/>
          <w:sz w:val="26"/>
          <w:szCs w:val="26"/>
          <w:lang w:val="en-US"/>
        </w:rPr>
        <w:t xml:space="preserve">NEWSLETTER </w:t>
      </w:r>
      <w:r w:rsidR="00822AE7" w:rsidRPr="00481615">
        <w:rPr>
          <w:rFonts w:ascii="Bell MT" w:hAnsi="Bell MT"/>
          <w:b/>
          <w:sz w:val="26"/>
          <w:szCs w:val="26"/>
          <w:lang w:val="en-US"/>
        </w:rPr>
        <w:t>N°</w:t>
      </w:r>
      <w:r w:rsidR="00822AE7" w:rsidRPr="00481615">
        <w:rPr>
          <w:rFonts w:ascii="Bell MT" w:hAnsi="Bell MT"/>
          <w:b/>
          <w:color w:val="C00000"/>
          <w:sz w:val="26"/>
          <w:szCs w:val="26"/>
          <w:lang w:val="en-US"/>
        </w:rPr>
        <w:t>1</w:t>
      </w:r>
      <w:r w:rsidR="00822AE7" w:rsidRPr="00481615"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8155FB" w:rsidRPr="00481615">
        <w:rPr>
          <w:rFonts w:ascii="Bell MT" w:hAnsi="Bell MT"/>
          <w:b/>
          <w:sz w:val="26"/>
          <w:szCs w:val="26"/>
          <w:lang w:val="en-US"/>
        </w:rPr>
        <w:t>VACCINATION COVID-19</w:t>
      </w:r>
      <w:r w:rsidR="00822AE7" w:rsidRPr="00481615"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E30765" w:rsidRPr="00481615">
        <w:rPr>
          <w:rFonts w:ascii="Bell MT" w:hAnsi="Bell MT"/>
          <w:b/>
          <w:sz w:val="26"/>
          <w:szCs w:val="26"/>
          <w:lang w:val="en-US"/>
        </w:rPr>
        <w:t xml:space="preserve">– 18 mars 2021 </w:t>
      </w:r>
      <w:r w:rsidR="00E30765" w:rsidRPr="00481615">
        <w:rPr>
          <w:rFonts w:ascii="Bell MT" w:hAnsi="Bell MT"/>
          <w:b/>
          <w:sz w:val="26"/>
          <w:szCs w:val="26"/>
          <w:lang w:val="en-US"/>
        </w:rPr>
        <w:t>–</w:t>
      </w:r>
    </w:p>
    <w:p w:rsidR="00F839A9" w:rsidRDefault="00E30765" w:rsidP="00F839A9">
      <w:pPr>
        <w:spacing w:after="120" w:line="240" w:lineRule="auto"/>
        <w:rPr>
          <w:b/>
        </w:rPr>
      </w:pPr>
      <w:r>
        <w:rPr>
          <w:b/>
        </w:rPr>
        <w:t>Au 1</w:t>
      </w:r>
      <w:r w:rsidR="00D338F8">
        <w:rPr>
          <w:b/>
        </w:rPr>
        <w:t>7</w:t>
      </w:r>
      <w:r>
        <w:rPr>
          <w:b/>
        </w:rPr>
        <w:t>/03</w:t>
      </w:r>
      <w:r w:rsidR="00822AE7">
        <w:rPr>
          <w:b/>
        </w:rPr>
        <w:t>,</w:t>
      </w:r>
      <w:r w:rsidR="00F839A9">
        <w:rPr>
          <w:b/>
        </w:rPr>
        <w:t xml:space="preserve"> </w:t>
      </w:r>
      <w:r w:rsidR="00D338F8">
        <w:rPr>
          <w:b/>
        </w:rPr>
        <w:t>8,40</w:t>
      </w:r>
      <w:r w:rsidR="00F839A9">
        <w:rPr>
          <w:b/>
        </w:rPr>
        <w:t xml:space="preserve"> % des Français</w:t>
      </w:r>
      <w:r w:rsidR="00D338F8" w:rsidRPr="00D338F8">
        <w:rPr>
          <w:b/>
        </w:rPr>
        <w:t xml:space="preserve"> </w:t>
      </w:r>
      <w:r w:rsidR="00D338F8">
        <w:rPr>
          <w:b/>
        </w:rPr>
        <w:t>ont reçu au moins une dose de vaccin</w:t>
      </w:r>
      <w:r w:rsidR="00D338F8">
        <w:rPr>
          <w:b/>
        </w:rPr>
        <w:t>, parmi lesquels 45 % des &gt; 75 ans.</w:t>
      </w:r>
      <w:r w:rsidR="00F839A9">
        <w:rPr>
          <w:b/>
        </w:rPr>
        <w:t xml:space="preserve"> </w:t>
      </w:r>
      <w:r w:rsidR="00D338F8">
        <w:rPr>
          <w:b/>
        </w:rPr>
        <w:t xml:space="preserve">En Pays de la Loire, </w:t>
      </w:r>
      <w:r w:rsidR="00D338F8">
        <w:rPr>
          <w:b/>
        </w:rPr>
        <w:t>90 % des résidents d’</w:t>
      </w:r>
      <w:proofErr w:type="spellStart"/>
      <w:r w:rsidR="00D338F8">
        <w:rPr>
          <w:b/>
        </w:rPr>
        <w:t>Ehpad</w:t>
      </w:r>
      <w:proofErr w:type="spellEnd"/>
      <w:r w:rsidR="00D338F8">
        <w:rPr>
          <w:b/>
        </w:rPr>
        <w:t xml:space="preserve"> </w:t>
      </w:r>
      <w:r w:rsidR="00D338F8">
        <w:rPr>
          <w:b/>
        </w:rPr>
        <w:t>ont été vaccinés</w:t>
      </w:r>
      <w:r w:rsidR="00E04823">
        <w:rPr>
          <w:b/>
        </w:rPr>
        <w:t>.</w:t>
      </w:r>
    </w:p>
    <w:p w:rsidR="008155FB" w:rsidRPr="00E30765" w:rsidRDefault="008155FB" w:rsidP="00126E3F">
      <w:pPr>
        <w:spacing w:after="120" w:line="240" w:lineRule="auto"/>
        <w:jc w:val="both"/>
      </w:pPr>
      <w:r w:rsidRPr="008155FB">
        <w:rPr>
          <w:b/>
        </w:rPr>
        <w:t>Cer</w:t>
      </w:r>
      <w:r w:rsidR="00DD288F">
        <w:rPr>
          <w:b/>
        </w:rPr>
        <w:t>tains pays de l’UE</w:t>
      </w:r>
      <w:r w:rsidRPr="008155FB">
        <w:rPr>
          <w:b/>
        </w:rPr>
        <w:t xml:space="preserve"> ont suspendu à titre provisoire l’utilisation du vaccin </w:t>
      </w:r>
      <w:r w:rsidR="00DD288F">
        <w:rPr>
          <w:b/>
        </w:rPr>
        <w:t>d’</w:t>
      </w:r>
      <w:proofErr w:type="spellStart"/>
      <w:r w:rsidRPr="008155FB">
        <w:rPr>
          <w:b/>
        </w:rPr>
        <w:t>AstraZeneca</w:t>
      </w:r>
      <w:proofErr w:type="spellEnd"/>
      <w:r w:rsidRPr="008155FB">
        <w:rPr>
          <w:b/>
        </w:rPr>
        <w:t xml:space="preserve">. </w:t>
      </w:r>
      <w:r w:rsidRPr="00E30765">
        <w:t>Il s’agit d’une mesure de précaution prise sur la base de signalements de troubles de la coagulation ch</w:t>
      </w:r>
      <w:r w:rsidR="00E30765">
        <w:t>ez des personnes</w:t>
      </w:r>
      <w:r w:rsidRPr="00E30765">
        <w:t xml:space="preserve"> vaccinées.</w:t>
      </w:r>
      <w:r w:rsidR="00E30765">
        <w:t xml:space="preserve"> </w:t>
      </w:r>
      <w:r w:rsidR="001A2BF0">
        <w:t>Après l’</w:t>
      </w:r>
      <w:r w:rsidR="00DD288F">
        <w:t>analyse de ces événements</w:t>
      </w:r>
      <w:r w:rsidR="001A2BF0">
        <w:t>, l’</w:t>
      </w:r>
      <w:r w:rsidR="001A2BF0">
        <w:t>Agence européenne du médicament</w:t>
      </w:r>
      <w:r w:rsidR="001A2BF0" w:rsidRPr="00822AE7">
        <w:t xml:space="preserve"> </w:t>
      </w:r>
      <w:r w:rsidR="001A2BF0">
        <w:t>a conclu le 18/03 que le vaccin n’était pas associé à un risque global de maladie th</w:t>
      </w:r>
      <w:bookmarkStart w:id="0" w:name="_GoBack"/>
      <w:bookmarkEnd w:id="0"/>
      <w:r w:rsidR="001A2BF0">
        <w:t xml:space="preserve">romboembolique et qu’il n’y </w:t>
      </w:r>
      <w:r w:rsidR="00CF39A1">
        <w:t>avait</w:t>
      </w:r>
      <w:r w:rsidR="001A2BF0">
        <w:t xml:space="preserve"> de lot défectueux. Sur 20 millions de vaccinés, 7 cas de </w:t>
      </w:r>
      <w:r w:rsidR="00DD288F">
        <w:t>troubles de la coagulation et thrombus et/ou saignements (CIVD)</w:t>
      </w:r>
      <w:r w:rsidR="001A2BF0">
        <w:t xml:space="preserve"> et 18 cas de thromboses </w:t>
      </w:r>
      <w:r w:rsidR="00DD288F">
        <w:t xml:space="preserve">veineuses </w:t>
      </w:r>
      <w:r w:rsidR="001A2BF0">
        <w:t xml:space="preserve">cérébrales </w:t>
      </w:r>
      <w:r w:rsidR="00DD288F">
        <w:t xml:space="preserve">(TVC) </w:t>
      </w:r>
      <w:r w:rsidR="001A2BF0">
        <w:t xml:space="preserve">ont été rapportés, parmi lesquels des personnes jeunes </w:t>
      </w:r>
      <w:r w:rsidR="00E30765">
        <w:t>(</w:t>
      </w:r>
      <w:r w:rsidR="00DD288F">
        <w:t>les TVC</w:t>
      </w:r>
      <w:r w:rsidR="00E30765">
        <w:t xml:space="preserve"> touchant particulièrement les femmes jeunes en général</w:t>
      </w:r>
      <w:r w:rsidR="00E30765">
        <w:t>)</w:t>
      </w:r>
      <w:r w:rsidR="00822AE7">
        <w:t xml:space="preserve">. </w:t>
      </w:r>
      <w:r w:rsidR="00CF39A1">
        <w:t>« </w:t>
      </w:r>
      <w:r w:rsidR="00CF39A1" w:rsidRPr="00CF39A1">
        <w:t xml:space="preserve">Un lien causal </w:t>
      </w:r>
      <w:r w:rsidR="00CF39A1">
        <w:t xml:space="preserve">n’est pas démontré, mais </w:t>
      </w:r>
      <w:r w:rsidR="00CF39A1" w:rsidRPr="00CF39A1">
        <w:t>reste possible et mérite d’avantage d’investigation</w:t>
      </w:r>
      <w:r w:rsidR="00CF39A1">
        <w:t> » rapporte l’agence, qui</w:t>
      </w:r>
      <w:r w:rsidR="004F63E0">
        <w:t xml:space="preserve"> recommande ainsi la reprise de la vaccination, tout en poursuivant l’analyse des données</w:t>
      </w:r>
      <w:r w:rsidR="00CF39A1">
        <w:t xml:space="preserve"> </w:t>
      </w:r>
      <w:r w:rsidR="004F63E0">
        <w:t>(ema.europa.eu)</w:t>
      </w:r>
      <w:r w:rsidR="00DD288F">
        <w:t>.</w:t>
      </w:r>
      <w:r w:rsidR="00481615">
        <w:t xml:space="preserve"> Décision de la France à suivre.</w:t>
      </w:r>
    </w:p>
    <w:p w:rsidR="009A5859" w:rsidRDefault="00D46FA3" w:rsidP="00481615">
      <w:pPr>
        <w:spacing w:after="60" w:line="240" w:lineRule="auto"/>
        <w:jc w:val="both"/>
      </w:pPr>
      <w:r>
        <w:rPr>
          <w:b/>
        </w:rPr>
        <w:t>Le vaccin de Johnson &amp; Johnson/Janssen</w:t>
      </w:r>
      <w:r w:rsidR="00B23A49" w:rsidRPr="002D3D60">
        <w:rPr>
          <w:b/>
        </w:rPr>
        <w:t xml:space="preserve"> a reçu son autorisation </w:t>
      </w:r>
      <w:r w:rsidR="007604C0" w:rsidRPr="002D3D60">
        <w:rPr>
          <w:b/>
        </w:rPr>
        <w:t xml:space="preserve">conditionnelle </w:t>
      </w:r>
      <w:r w:rsidR="00160544">
        <w:rPr>
          <w:b/>
        </w:rPr>
        <w:t>de mise sur le marché</w:t>
      </w:r>
      <w:r w:rsidR="00CF39A1">
        <w:rPr>
          <w:b/>
        </w:rPr>
        <w:t xml:space="preserve"> par l’UE le 11/03</w:t>
      </w:r>
      <w:r w:rsidR="00423127" w:rsidRPr="002D3D60">
        <w:rPr>
          <w:b/>
        </w:rPr>
        <w:t xml:space="preserve"> pour les personnes de </w:t>
      </w:r>
      <w:r w:rsidR="00CF39A1">
        <w:rPr>
          <w:b/>
        </w:rPr>
        <w:t>≥ 18 ans</w:t>
      </w:r>
      <w:r w:rsidR="00B23A49" w:rsidRPr="002D3D60">
        <w:rPr>
          <w:b/>
        </w:rPr>
        <w:t>.</w:t>
      </w:r>
      <w:r w:rsidR="00423127">
        <w:t xml:space="preserve"> Il repose sur un adénovirus </w:t>
      </w:r>
      <w:r w:rsidR="003F2923">
        <w:t xml:space="preserve">humain </w:t>
      </w:r>
      <w:r w:rsidR="007604C0">
        <w:t>modifié</w:t>
      </w:r>
      <w:r w:rsidR="00423127">
        <w:t xml:space="preserve"> </w:t>
      </w:r>
      <w:r w:rsidR="007604C0">
        <w:t>pour le rendre</w:t>
      </w:r>
      <w:r w:rsidR="00423127">
        <w:t xml:space="preserve"> incapable de </w:t>
      </w:r>
      <w:r w:rsidR="007604C0">
        <w:t>se multiplier</w:t>
      </w:r>
      <w:r w:rsidR="00423127">
        <w:t xml:space="preserve">. Il délivre dans </w:t>
      </w:r>
      <w:r w:rsidR="003F2923">
        <w:t>l</w:t>
      </w:r>
      <w:r w:rsidR="00423127">
        <w:t xml:space="preserve">es cellules la séquence permettant la production de la protéine S du </w:t>
      </w:r>
      <w:r w:rsidR="00CF39A1">
        <w:t>virus</w:t>
      </w:r>
      <w:r w:rsidR="008274EC">
        <w:t>, sans risque de modification des gènes</w:t>
      </w:r>
      <w:r w:rsidR="00423127">
        <w:t xml:space="preserve">. L’expression de cette protéine permet la protection vis-à-vis d’une infection ultérieure. Les données d’efficacité sont issues d’un essai de phase 3, </w:t>
      </w:r>
      <w:r w:rsidR="00CF39A1">
        <w:t>portant sur ≈40 000 participants</w:t>
      </w:r>
      <w:r w:rsidR="007604C0">
        <w:t xml:space="preserve">, </w:t>
      </w:r>
      <w:r w:rsidR="00423127">
        <w:t>tirés au sort pour recevoir une seule dose de vacc</w:t>
      </w:r>
      <w:r w:rsidR="00160544">
        <w:t>in ou un</w:t>
      </w:r>
      <w:r w:rsidR="00A9531C">
        <w:t xml:space="preserve"> placebo. L’efficacité vaccinale</w:t>
      </w:r>
      <w:r w:rsidR="00423127">
        <w:t xml:space="preserve"> </w:t>
      </w:r>
      <w:r w:rsidR="00160544">
        <w:t>était</w:t>
      </w:r>
      <w:r w:rsidR="000E671D">
        <w:t xml:space="preserve"> de 67 % </w:t>
      </w:r>
      <w:r w:rsidR="00423127">
        <w:t xml:space="preserve">sur les cas de Covid-19 </w:t>
      </w:r>
      <w:r w:rsidR="00A9531C">
        <w:t xml:space="preserve">survenant 14 jours après l’injection </w:t>
      </w:r>
      <w:r w:rsidR="00423127">
        <w:t xml:space="preserve">et </w:t>
      </w:r>
      <w:r w:rsidR="00A9531C">
        <w:t>monte</w:t>
      </w:r>
      <w:r w:rsidR="000E671D">
        <w:t xml:space="preserve"> </w:t>
      </w:r>
      <w:r w:rsidR="008274EC">
        <w:t>jusqu’</w:t>
      </w:r>
      <w:r w:rsidR="00A9531C">
        <w:t xml:space="preserve">à </w:t>
      </w:r>
      <w:r w:rsidR="008274EC">
        <w:t>85 % sur la survenue de</w:t>
      </w:r>
      <w:r w:rsidR="000E671D">
        <w:t xml:space="preserve"> Covid</w:t>
      </w:r>
      <w:r w:rsidR="00A9531C">
        <w:t xml:space="preserve">-19 sévères ou critiques </w:t>
      </w:r>
      <w:r w:rsidR="000E671D">
        <w:t>28 jours</w:t>
      </w:r>
      <w:r w:rsidR="00423127">
        <w:t xml:space="preserve"> </w:t>
      </w:r>
      <w:r w:rsidR="00A9531C">
        <w:t>après</w:t>
      </w:r>
      <w:r w:rsidR="008274EC">
        <w:t xml:space="preserve"> la vaccination</w:t>
      </w:r>
      <w:r w:rsidR="000E671D">
        <w:t xml:space="preserve">. Concrètement, 16 personnes ont été hospitalisées pour Covid-19 </w:t>
      </w:r>
      <w:r w:rsidR="008274EC">
        <w:t>28 jours ou plus après la</w:t>
      </w:r>
      <w:r w:rsidR="000E671D">
        <w:t xml:space="preserve"> vaccin</w:t>
      </w:r>
      <w:r w:rsidR="008274EC">
        <w:t>ation</w:t>
      </w:r>
      <w:r w:rsidR="000E671D">
        <w:t xml:space="preserve"> </w:t>
      </w:r>
      <w:r w:rsidR="00A758E9">
        <w:t>et 7 sont dé</w:t>
      </w:r>
      <w:r w:rsidR="000E671D">
        <w:t xml:space="preserve">cédées dans le groupe placebo </w:t>
      </w:r>
      <w:r w:rsidR="000E671D" w:rsidRPr="008274EC">
        <w:rPr>
          <w:i/>
        </w:rPr>
        <w:t>versus</w:t>
      </w:r>
      <w:r w:rsidR="000E671D">
        <w:t xml:space="preserve"> aucune dans le groupe vacciné.</w:t>
      </w:r>
      <w:r w:rsidR="007604C0">
        <w:t xml:space="preserve"> </w:t>
      </w:r>
      <w:r w:rsidR="003F2923">
        <w:t>D</w:t>
      </w:r>
      <w:r w:rsidR="00A758E9">
        <w:t>es résultats prélimin</w:t>
      </w:r>
      <w:r w:rsidR="003F2923">
        <w:t>aires montrent une efficacité contre les infections asymptomatiques d’environ 60 %. Enfin, l</w:t>
      </w:r>
      <w:r w:rsidR="008274EC">
        <w:t xml:space="preserve">’efficacité était </w:t>
      </w:r>
      <w:r w:rsidR="00A758E9">
        <w:t>maintenue</w:t>
      </w:r>
      <w:r w:rsidR="008274EC">
        <w:t xml:space="preserve"> en Afrique du Sud malgré la circulation très majoritaire du variant dit « sud-africain » au moment de l’essai</w:t>
      </w:r>
      <w:r w:rsidR="00160544" w:rsidRPr="00160544">
        <w:rPr>
          <w:vertAlign w:val="superscript"/>
        </w:rPr>
        <w:t>1</w:t>
      </w:r>
      <w:r w:rsidR="008274EC">
        <w:t xml:space="preserve">. </w:t>
      </w:r>
    </w:p>
    <w:p w:rsidR="00160544" w:rsidRPr="00481615" w:rsidRDefault="00160544" w:rsidP="00126E3F">
      <w:pPr>
        <w:spacing w:after="120" w:line="240" w:lineRule="auto"/>
        <w:jc w:val="both"/>
        <w:rPr>
          <w:sz w:val="20"/>
          <w:szCs w:val="18"/>
        </w:rPr>
      </w:pPr>
      <w:r w:rsidRPr="00481615">
        <w:rPr>
          <w:sz w:val="20"/>
          <w:szCs w:val="18"/>
          <w:vertAlign w:val="superscript"/>
        </w:rPr>
        <w:t>1</w:t>
      </w:r>
      <w:r w:rsidRPr="00481615">
        <w:rPr>
          <w:sz w:val="20"/>
          <w:szCs w:val="18"/>
        </w:rPr>
        <w:t xml:space="preserve">Dossier de la FDA pour l’évaluation du vaccin Janssen </w:t>
      </w:r>
      <w:hyperlink r:id="rId5" w:history="1">
        <w:r w:rsidRPr="00481615">
          <w:rPr>
            <w:rStyle w:val="Lienhypertexte"/>
            <w:sz w:val="20"/>
            <w:szCs w:val="18"/>
          </w:rPr>
          <w:t>https://www.fda.gov/media/146217/download</w:t>
        </w:r>
      </w:hyperlink>
      <w:r w:rsidRPr="00481615">
        <w:rPr>
          <w:sz w:val="20"/>
          <w:szCs w:val="18"/>
        </w:rPr>
        <w:t xml:space="preserve"> </w:t>
      </w:r>
    </w:p>
    <w:p w:rsidR="002D3D60" w:rsidRPr="00560445" w:rsidRDefault="002D3D60" w:rsidP="00126E3F">
      <w:pPr>
        <w:spacing w:after="120" w:line="240" w:lineRule="auto"/>
        <w:jc w:val="both"/>
        <w:rPr>
          <w:b/>
        </w:rPr>
      </w:pPr>
      <w:r w:rsidRPr="00560445">
        <w:rPr>
          <w:b/>
        </w:rPr>
        <w:t>La mise en place de la vaccination à grande échelle depuis décembre 2020 permet de disposer désormais de données sur l’efficacité des vaccins en vie réelle.</w:t>
      </w:r>
      <w:r w:rsidR="00560445">
        <w:rPr>
          <w:b/>
        </w:rPr>
        <w:t xml:space="preserve"> </w:t>
      </w:r>
      <w:r w:rsidR="00160544">
        <w:t xml:space="preserve">Une étude </w:t>
      </w:r>
      <w:r w:rsidRPr="002D3D60">
        <w:t xml:space="preserve">menée en Israël sur plus d’un million de personnes a ainsi apporté des réponses sur l’efficacité du vaccin </w:t>
      </w:r>
      <w:r w:rsidR="00560445">
        <w:t xml:space="preserve">de </w:t>
      </w:r>
      <w:r w:rsidRPr="002D3D60">
        <w:t xml:space="preserve">Pfizer sur </w:t>
      </w:r>
      <w:r w:rsidR="00560445">
        <w:t>la survenue des événements suivants</w:t>
      </w:r>
      <w:r w:rsidR="00160544">
        <w:t>²</w:t>
      </w:r>
      <w:r w:rsidR="00560445">
        <w:t> :</w:t>
      </w:r>
    </w:p>
    <w:tbl>
      <w:tblPr>
        <w:tblStyle w:val="Grilledutablea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673"/>
        <w:gridCol w:w="1672"/>
        <w:gridCol w:w="1673"/>
        <w:gridCol w:w="1673"/>
      </w:tblGrid>
      <w:tr w:rsidR="002D3D60" w:rsidRPr="009A4F72" w:rsidTr="002672E4">
        <w:trPr>
          <w:trHeight w:val="272"/>
        </w:trPr>
        <w:tc>
          <w:tcPr>
            <w:tcW w:w="1985" w:type="dxa"/>
            <w:vAlign w:val="center"/>
          </w:tcPr>
          <w:p w:rsidR="002D3D60" w:rsidRPr="009A4F72" w:rsidRDefault="00560445" w:rsidP="009A4F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Cs w:val="20"/>
              </w:rPr>
            </w:pPr>
            <w:r w:rsidRPr="009A4F72">
              <w:rPr>
                <w:rFonts w:cs="Calibri"/>
                <w:szCs w:val="20"/>
              </w:rPr>
              <w:t>Efficacité vaccinale</w:t>
            </w:r>
          </w:p>
        </w:tc>
        <w:tc>
          <w:tcPr>
            <w:tcW w:w="1814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Infection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proofErr w:type="spellStart"/>
            <w:r w:rsidRPr="009A4F72">
              <w:rPr>
                <w:rFonts w:cs="Calibri"/>
                <w:szCs w:val="20"/>
                <w:lang w:val="en-US"/>
              </w:rPr>
              <w:t>Maladie</w:t>
            </w:r>
            <w:proofErr w:type="spellEnd"/>
          </w:p>
        </w:tc>
        <w:tc>
          <w:tcPr>
            <w:tcW w:w="1672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proofErr w:type="spellStart"/>
            <w:r w:rsidRPr="009A4F72">
              <w:rPr>
                <w:rFonts w:cs="Calibri"/>
                <w:szCs w:val="20"/>
                <w:lang w:val="en-US"/>
              </w:rPr>
              <w:t>Hospitalisation</w:t>
            </w:r>
            <w:proofErr w:type="spellEnd"/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proofErr w:type="spellStart"/>
            <w:r w:rsidRPr="009A4F72">
              <w:rPr>
                <w:rFonts w:cs="Calibri"/>
                <w:szCs w:val="20"/>
                <w:lang w:val="en-US"/>
              </w:rPr>
              <w:t>Forme</w:t>
            </w:r>
            <w:proofErr w:type="spellEnd"/>
            <w:r w:rsidRPr="009A4F72">
              <w:rPr>
                <w:rFonts w:cs="Calibri"/>
                <w:szCs w:val="20"/>
                <w:lang w:val="en-US"/>
              </w:rPr>
              <w:t xml:space="preserve"> </w:t>
            </w:r>
            <w:proofErr w:type="spellStart"/>
            <w:r w:rsidRPr="009A4F72">
              <w:rPr>
                <w:rFonts w:cs="Calibri"/>
                <w:szCs w:val="20"/>
                <w:lang w:val="en-US"/>
              </w:rPr>
              <w:t>sévère</w:t>
            </w:r>
            <w:proofErr w:type="spellEnd"/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proofErr w:type="spellStart"/>
            <w:r w:rsidRPr="009A4F72">
              <w:rPr>
                <w:rFonts w:cs="Calibri"/>
                <w:szCs w:val="20"/>
                <w:lang w:val="en-US"/>
              </w:rPr>
              <w:t>Décès</w:t>
            </w:r>
            <w:proofErr w:type="spellEnd"/>
          </w:p>
        </w:tc>
      </w:tr>
      <w:tr w:rsidR="002D3D60" w:rsidRPr="009A4F72" w:rsidTr="002672E4">
        <w:trPr>
          <w:trHeight w:val="272"/>
        </w:trPr>
        <w:tc>
          <w:tcPr>
            <w:tcW w:w="1985" w:type="dxa"/>
            <w:vAlign w:val="center"/>
          </w:tcPr>
          <w:p w:rsidR="002D3D60" w:rsidRPr="009A4F72" w:rsidRDefault="00560445" w:rsidP="009A4F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Cs w:val="20"/>
              </w:rPr>
            </w:pPr>
            <w:r w:rsidRPr="009A4F72">
              <w:rPr>
                <w:rFonts w:cs="Calibri"/>
                <w:szCs w:val="20"/>
              </w:rPr>
              <w:t>A</w:t>
            </w:r>
            <w:r w:rsidR="002D3D60" w:rsidRPr="009A4F72">
              <w:rPr>
                <w:rFonts w:cs="Calibri"/>
                <w:szCs w:val="20"/>
              </w:rPr>
              <w:t>près la 1</w:t>
            </w:r>
            <w:r w:rsidR="002D3D60" w:rsidRPr="009A4F72">
              <w:rPr>
                <w:rFonts w:cs="Calibri"/>
                <w:szCs w:val="20"/>
                <w:vertAlign w:val="superscript"/>
              </w:rPr>
              <w:t>ère</w:t>
            </w:r>
            <w:r w:rsidR="002D3D60" w:rsidRPr="009A4F72">
              <w:rPr>
                <w:rFonts w:cs="Calibri"/>
                <w:szCs w:val="20"/>
              </w:rPr>
              <w:t xml:space="preserve"> dose</w:t>
            </w:r>
          </w:p>
        </w:tc>
        <w:tc>
          <w:tcPr>
            <w:tcW w:w="1814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46 %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57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2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74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62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72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</w:tr>
      <w:tr w:rsidR="002D3D60" w:rsidRPr="009A4F72" w:rsidTr="002672E4">
        <w:trPr>
          <w:trHeight w:val="272"/>
        </w:trPr>
        <w:tc>
          <w:tcPr>
            <w:tcW w:w="1985" w:type="dxa"/>
            <w:vAlign w:val="center"/>
          </w:tcPr>
          <w:p w:rsidR="002D3D60" w:rsidRPr="009A4F72" w:rsidRDefault="00560445" w:rsidP="009A4F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Cs w:val="20"/>
              </w:rPr>
            </w:pPr>
            <w:r w:rsidRPr="009A4F72">
              <w:rPr>
                <w:rFonts w:cs="Calibri"/>
                <w:szCs w:val="20"/>
              </w:rPr>
              <w:t>A</w:t>
            </w:r>
            <w:r w:rsidR="002D3D60" w:rsidRPr="009A4F72">
              <w:rPr>
                <w:rFonts w:cs="Calibri"/>
                <w:szCs w:val="20"/>
              </w:rPr>
              <w:t>près la 2</w:t>
            </w:r>
            <w:r w:rsidR="002D3D60" w:rsidRPr="009A4F72">
              <w:rPr>
                <w:rFonts w:cs="Calibri"/>
                <w:szCs w:val="20"/>
                <w:vertAlign w:val="superscript"/>
              </w:rPr>
              <w:t>de</w:t>
            </w:r>
            <w:r w:rsidR="002D3D60" w:rsidRPr="009A4F72">
              <w:rPr>
                <w:rFonts w:cs="Calibri"/>
                <w:szCs w:val="20"/>
              </w:rPr>
              <w:t xml:space="preserve"> dose</w:t>
            </w:r>
          </w:p>
        </w:tc>
        <w:tc>
          <w:tcPr>
            <w:tcW w:w="1814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92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94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2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87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3" w:type="dxa"/>
            <w:vAlign w:val="center"/>
          </w:tcPr>
          <w:p w:rsidR="002D3D60" w:rsidRPr="009A4F72" w:rsidRDefault="002D3D60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9A4F72">
              <w:rPr>
                <w:rFonts w:cs="Calibri"/>
                <w:szCs w:val="20"/>
                <w:lang w:val="en-US"/>
              </w:rPr>
              <w:t>92</w:t>
            </w:r>
            <w:r w:rsidR="00560445" w:rsidRPr="009A4F72">
              <w:rPr>
                <w:rFonts w:cs="Calibri"/>
                <w:szCs w:val="20"/>
                <w:lang w:val="en-US"/>
              </w:rPr>
              <w:t xml:space="preserve"> </w:t>
            </w:r>
            <w:r w:rsidRPr="009A4F72">
              <w:rPr>
                <w:rFonts w:cs="Calibri"/>
                <w:szCs w:val="20"/>
                <w:lang w:val="en-US"/>
              </w:rPr>
              <w:t>%</w:t>
            </w:r>
          </w:p>
        </w:tc>
        <w:tc>
          <w:tcPr>
            <w:tcW w:w="1673" w:type="dxa"/>
            <w:vAlign w:val="center"/>
          </w:tcPr>
          <w:p w:rsidR="002D3D60" w:rsidRPr="009A4F72" w:rsidRDefault="002672E4" w:rsidP="009A4F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Cs w:val="20"/>
                <w:lang w:val="en-US"/>
              </w:rPr>
            </w:pPr>
            <w:r w:rsidRPr="002672E4">
              <w:rPr>
                <w:rFonts w:cs="Calibri"/>
                <w:sz w:val="20"/>
                <w:szCs w:val="20"/>
                <w:lang w:val="en-US"/>
              </w:rPr>
              <w:t xml:space="preserve">Pas </w:t>
            </w:r>
            <w:proofErr w:type="spellStart"/>
            <w:r w:rsidRPr="002672E4">
              <w:rPr>
                <w:rFonts w:cs="Calibri"/>
                <w:sz w:val="20"/>
                <w:szCs w:val="20"/>
                <w:lang w:val="en-US"/>
              </w:rPr>
              <w:t>assez</w:t>
            </w:r>
            <w:proofErr w:type="spellEnd"/>
            <w:r w:rsidRPr="002672E4">
              <w:rPr>
                <w:rFonts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672E4">
              <w:rPr>
                <w:rFonts w:cs="Calibri"/>
                <w:sz w:val="20"/>
                <w:szCs w:val="20"/>
                <w:lang w:val="en-US"/>
              </w:rPr>
              <w:t>recul</w:t>
            </w:r>
            <w:proofErr w:type="spellEnd"/>
          </w:p>
        </w:tc>
      </w:tr>
    </w:tbl>
    <w:p w:rsidR="002D3D60" w:rsidRDefault="002D3D60" w:rsidP="00481615">
      <w:pPr>
        <w:autoSpaceDE w:val="0"/>
        <w:autoSpaceDN w:val="0"/>
        <w:adjustRightInd w:val="0"/>
        <w:spacing w:before="120" w:after="60" w:line="240" w:lineRule="auto"/>
        <w:jc w:val="both"/>
      </w:pPr>
      <w:r w:rsidRPr="00560445">
        <w:t>D</w:t>
      </w:r>
      <w:r w:rsidR="00560445">
        <w:t>es études réalisées au Royaume-U</w:t>
      </w:r>
      <w:r w:rsidR="00160544">
        <w:t>ni</w:t>
      </w:r>
      <w:r w:rsidRPr="00560445">
        <w:t xml:space="preserve"> ont </w:t>
      </w:r>
      <w:r w:rsidR="00560445">
        <w:t xml:space="preserve">par ailleurs </w:t>
      </w:r>
      <w:r w:rsidRPr="00560445">
        <w:t xml:space="preserve">évalué l’efficacité des vaccins </w:t>
      </w:r>
      <w:r w:rsidR="00560445">
        <w:t>d’</w:t>
      </w:r>
      <w:proofErr w:type="spellStart"/>
      <w:r w:rsidR="00560445">
        <w:t>Astra</w:t>
      </w:r>
      <w:r w:rsidRPr="00560445">
        <w:t>Zeneca</w:t>
      </w:r>
      <w:proofErr w:type="spellEnd"/>
      <w:r w:rsidRPr="00560445">
        <w:t xml:space="preserve"> et </w:t>
      </w:r>
      <w:r w:rsidR="00560445">
        <w:t xml:space="preserve">de </w:t>
      </w:r>
      <w:r w:rsidRPr="00560445">
        <w:t>Pfizer chez les personnes âgées de plus de 65</w:t>
      </w:r>
      <w:r w:rsidR="00126E3F">
        <w:t>-70 ans</w:t>
      </w:r>
      <w:r w:rsidRPr="00560445">
        <w:t xml:space="preserve"> </w:t>
      </w:r>
      <w:r w:rsidR="00560445">
        <w:t>à</w:t>
      </w:r>
      <w:r w:rsidRPr="00560445">
        <w:t xml:space="preserve"> éviter une hospitalisation</w:t>
      </w:r>
      <w:r w:rsidR="00160544" w:rsidRPr="00160544">
        <w:rPr>
          <w:vertAlign w:val="superscript"/>
        </w:rPr>
        <w:t>3</w:t>
      </w:r>
      <w:proofErr w:type="gramStart"/>
      <w:r w:rsidR="00160544" w:rsidRPr="00160544">
        <w:rPr>
          <w:vertAlign w:val="superscript"/>
        </w:rPr>
        <w:t>,4</w:t>
      </w:r>
      <w:proofErr w:type="gramEnd"/>
      <w:r w:rsidRPr="00560445">
        <w:t>. Un mois après la première dose</w:t>
      </w:r>
      <w:r w:rsidR="00560445">
        <w:t>,</w:t>
      </w:r>
      <w:r w:rsidRPr="00560445">
        <w:t xml:space="preserve"> l’efficacité vaccinale est de l’ordre de 73 à 85</w:t>
      </w:r>
      <w:r w:rsidR="00560445">
        <w:t xml:space="preserve"> %</w:t>
      </w:r>
      <w:r w:rsidRPr="00560445">
        <w:t xml:space="preserve"> selon ces études et s’avère similaire pour les 2 vaccins. Cette donnée est d’autant plus précieuse qu’elle renseigne sur l’efficacité contre le variant </w:t>
      </w:r>
      <w:r w:rsidR="00126E3F">
        <w:t>dit « a</w:t>
      </w:r>
      <w:r w:rsidRPr="00560445">
        <w:t>nglais</w:t>
      </w:r>
      <w:r w:rsidR="00126E3F">
        <w:t> », qui était majoritaire dans ces deux études et l’</w:t>
      </w:r>
      <w:r w:rsidRPr="00560445">
        <w:t xml:space="preserve">est désormais </w:t>
      </w:r>
      <w:r w:rsidR="00126E3F">
        <w:t>aussi</w:t>
      </w:r>
      <w:r w:rsidRPr="00560445">
        <w:t xml:space="preserve"> sur le territoire français.</w:t>
      </w:r>
    </w:p>
    <w:p w:rsidR="002672E4" w:rsidRDefault="00160544" w:rsidP="00267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7513">
        <w:rPr>
          <w:sz w:val="20"/>
          <w:vertAlign w:val="superscript"/>
        </w:rPr>
        <w:t>2</w:t>
      </w:r>
      <w:r w:rsidRPr="00EC7513">
        <w:rPr>
          <w:sz w:val="20"/>
        </w:rPr>
        <w:t xml:space="preserve">Dagan N, et al. </w:t>
      </w:r>
      <w:hyperlink r:id="rId6" w:history="1">
        <w:r w:rsidR="00EC7513" w:rsidRPr="00766E8A">
          <w:rPr>
            <w:rStyle w:val="Lienhypertexte"/>
            <w:rFonts w:cs="Calibri"/>
            <w:sz w:val="20"/>
            <w:szCs w:val="20"/>
          </w:rPr>
          <w:t>https://www.nejm.org/doi/pdf/10.1056/NEJMoa2101765?articleTools=true</w:t>
        </w:r>
      </w:hyperlink>
      <w:r w:rsidR="002672E4">
        <w:rPr>
          <w:rFonts w:cs="Calibri"/>
          <w:sz w:val="20"/>
          <w:szCs w:val="20"/>
        </w:rPr>
        <w:t> </w:t>
      </w:r>
      <w:r w:rsidR="00EC7513">
        <w:rPr>
          <w:rFonts w:cs="Calibri"/>
          <w:sz w:val="20"/>
          <w:szCs w:val="20"/>
        </w:rPr>
        <w:t xml:space="preserve"> </w:t>
      </w:r>
    </w:p>
    <w:p w:rsidR="002672E4" w:rsidRDefault="00EC7513" w:rsidP="00267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7513">
        <w:rPr>
          <w:rFonts w:cs="Calibri"/>
          <w:sz w:val="20"/>
          <w:szCs w:val="20"/>
          <w:vertAlign w:val="superscript"/>
        </w:rPr>
        <w:t>3</w:t>
      </w:r>
      <w:r>
        <w:rPr>
          <w:rFonts w:cs="Calibri"/>
          <w:sz w:val="20"/>
          <w:szCs w:val="20"/>
        </w:rPr>
        <w:t xml:space="preserve">Vasileiou E, et al. </w:t>
      </w:r>
      <w:hyperlink r:id="rId7" w:history="1">
        <w:r w:rsidRPr="00766E8A">
          <w:rPr>
            <w:rStyle w:val="Lienhypertexte"/>
            <w:rFonts w:cs="Calibri"/>
            <w:sz w:val="20"/>
            <w:szCs w:val="20"/>
          </w:rPr>
          <w:t>https://papers.ssrn.com/sol3/papers.cfm?abstract_id=3789264</w:t>
        </w:r>
      </w:hyperlink>
      <w:r w:rsidR="002672E4">
        <w:rPr>
          <w:rFonts w:cs="Calibri"/>
          <w:sz w:val="20"/>
          <w:szCs w:val="20"/>
        </w:rPr>
        <w:t> </w:t>
      </w:r>
      <w:r>
        <w:rPr>
          <w:rFonts w:cs="Calibri"/>
          <w:sz w:val="20"/>
          <w:szCs w:val="20"/>
        </w:rPr>
        <w:t xml:space="preserve"> </w:t>
      </w:r>
    </w:p>
    <w:p w:rsidR="00EC7513" w:rsidRDefault="00EC7513" w:rsidP="00267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7513">
        <w:rPr>
          <w:rFonts w:cs="Calibri"/>
          <w:sz w:val="20"/>
          <w:szCs w:val="20"/>
          <w:vertAlign w:val="superscript"/>
        </w:rPr>
        <w:t>4</w:t>
      </w:r>
      <w:r>
        <w:rPr>
          <w:rFonts w:cs="Calibri"/>
          <w:sz w:val="20"/>
          <w:szCs w:val="20"/>
        </w:rPr>
        <w:t xml:space="preserve">Bernal JL, et al. </w:t>
      </w:r>
      <w:hyperlink r:id="rId8" w:history="1">
        <w:r w:rsidRPr="00766E8A">
          <w:rPr>
            <w:rStyle w:val="Lienhypertexte"/>
            <w:rFonts w:cs="Calibri"/>
            <w:sz w:val="20"/>
            <w:szCs w:val="20"/>
          </w:rPr>
          <w:t>https://www.medrxiv.org/content/10.1101/2021.03.01.21252652v1</w:t>
        </w:r>
      </w:hyperlink>
      <w:r>
        <w:rPr>
          <w:rFonts w:cs="Calibri"/>
          <w:sz w:val="20"/>
          <w:szCs w:val="20"/>
        </w:rPr>
        <w:t xml:space="preserve"> </w:t>
      </w:r>
    </w:p>
    <w:p w:rsidR="00126E3F" w:rsidRPr="002672E4" w:rsidRDefault="00B54EBF" w:rsidP="00481615">
      <w:pPr>
        <w:autoSpaceDE w:val="0"/>
        <w:autoSpaceDN w:val="0"/>
        <w:adjustRightInd w:val="0"/>
        <w:spacing w:before="120" w:after="60" w:line="240" w:lineRule="auto"/>
        <w:jc w:val="both"/>
        <w:rPr>
          <w:sz w:val="20"/>
        </w:rPr>
      </w:pPr>
      <w:r w:rsidRPr="00B54EBF">
        <w:rPr>
          <w:rFonts w:cs="Calibri"/>
          <w:b/>
          <w:szCs w:val="20"/>
        </w:rPr>
        <w:t>Faut-il se faire vacciner si l’on a un antécédent de Covid-19 ?</w:t>
      </w:r>
      <w:r w:rsidR="00EC7513" w:rsidRPr="00B54EBF">
        <w:rPr>
          <w:rFonts w:cs="Calibri"/>
          <w:szCs w:val="20"/>
        </w:rPr>
        <w:t xml:space="preserve"> </w:t>
      </w:r>
      <w:r w:rsidR="004658D1">
        <w:rPr>
          <w:rFonts w:cs="Calibri"/>
          <w:b/>
          <w:szCs w:val="20"/>
        </w:rPr>
        <w:t xml:space="preserve">Oui, </w:t>
      </w:r>
      <w:r w:rsidRPr="00B54EBF">
        <w:rPr>
          <w:rFonts w:cs="Calibri"/>
          <w:b/>
          <w:szCs w:val="20"/>
        </w:rPr>
        <w:t>6 mois plus tard, avec 1 seule dose de vaccin.</w:t>
      </w:r>
      <w:r>
        <w:rPr>
          <w:rFonts w:cs="Calibri"/>
          <w:szCs w:val="20"/>
        </w:rPr>
        <w:t xml:space="preserve"> </w:t>
      </w:r>
      <w:r w:rsidR="00126E3F" w:rsidRPr="00126E3F">
        <w:rPr>
          <w:b/>
        </w:rPr>
        <w:t xml:space="preserve">La sérologie pré-vaccinale n’est pas recommandée </w:t>
      </w:r>
      <w:r w:rsidR="00126E3F" w:rsidRPr="00A9531C">
        <w:t xml:space="preserve">car elle ne </w:t>
      </w:r>
      <w:r w:rsidR="00126E3F">
        <w:t xml:space="preserve">renseigne pas sur la protection/durée de protection </w:t>
      </w:r>
      <w:r w:rsidR="00126E3F" w:rsidRPr="00A9531C">
        <w:t>des individus contre le virus.</w:t>
      </w:r>
      <w:r w:rsidR="00126E3F">
        <w:t xml:space="preserve"> </w:t>
      </w:r>
      <w:r w:rsidR="005272C3">
        <w:t>Nous ne connaissons</w:t>
      </w:r>
      <w:r w:rsidR="00126E3F">
        <w:t xml:space="preserve"> en effet pas de « corrélat de protection », c’est-à-dire un marqueur sanguin qui serait synonyme de protection contre l’infection. </w:t>
      </w:r>
      <w:r w:rsidR="009A4F72">
        <w:t>Tout ce que l’on sait, c’est que les personnes qui ont été infectées par le SARS-CoV-2 (avec ou sans symptômes) sont protégées pendant 6 mois au moins contre la survenue d’un Covid-19 symptomatique</w:t>
      </w:r>
      <w:r w:rsidR="002672E4" w:rsidRPr="002672E4">
        <w:rPr>
          <w:vertAlign w:val="superscript"/>
        </w:rPr>
        <w:t>5</w:t>
      </w:r>
      <w:proofErr w:type="gramStart"/>
      <w:r w:rsidR="002672E4">
        <w:rPr>
          <w:vertAlign w:val="superscript"/>
        </w:rPr>
        <w:t>,6</w:t>
      </w:r>
      <w:proofErr w:type="gramEnd"/>
      <w:r w:rsidR="009A4F72">
        <w:t xml:space="preserve">. </w:t>
      </w:r>
      <w:r w:rsidR="005272C3">
        <w:t>D’après une</w:t>
      </w:r>
      <w:r w:rsidR="009A4F72">
        <w:t xml:space="preserve"> étude </w:t>
      </w:r>
      <w:r w:rsidR="005272C3">
        <w:t>portant sur la réponse immunitaire</w:t>
      </w:r>
      <w:r w:rsidR="009A4F72">
        <w:t xml:space="preserve"> </w:t>
      </w:r>
      <w:r w:rsidR="005272C3">
        <w:t xml:space="preserve">après l’administration d’1 dose de vaccin de Pfizer ou </w:t>
      </w:r>
      <w:proofErr w:type="spellStart"/>
      <w:r w:rsidR="005272C3">
        <w:t>Moderna</w:t>
      </w:r>
      <w:proofErr w:type="spellEnd"/>
      <w:r w:rsidR="009A4F72">
        <w:t xml:space="preserve"> chez des sujets ayant été</w:t>
      </w:r>
      <w:r w:rsidR="005272C3">
        <w:t xml:space="preserve"> infectés,</w:t>
      </w:r>
      <w:r w:rsidR="009A4F72">
        <w:t xml:space="preserve"> </w:t>
      </w:r>
      <w:r w:rsidR="005272C3">
        <w:t>le taux d’anticorps est multiplié par 1000 entre avant et après la vaccination</w:t>
      </w:r>
      <w:r w:rsidR="002672E4" w:rsidRPr="002672E4">
        <w:rPr>
          <w:vertAlign w:val="superscript"/>
        </w:rPr>
        <w:t>7</w:t>
      </w:r>
      <w:r w:rsidR="005272C3">
        <w:t xml:space="preserve">. </w:t>
      </w:r>
      <w:r w:rsidR="004658D1">
        <w:t>Il s’agit de résultats</w:t>
      </w:r>
      <w:r>
        <w:t xml:space="preserve"> particulièrement encourageant</w:t>
      </w:r>
      <w:r w:rsidR="004658D1">
        <w:t>s car c</w:t>
      </w:r>
      <w:r>
        <w:t xml:space="preserve">es anticorps neutralisent </w:t>
      </w:r>
      <w:r w:rsidRPr="00B54EBF">
        <w:rPr>
          <w:i/>
        </w:rPr>
        <w:t>in vitro</w:t>
      </w:r>
      <w:r>
        <w:t xml:space="preserve"> le variant dit « sud-africain » et auraient même une activité vis-à-vis de souches de SARS-</w:t>
      </w:r>
      <w:proofErr w:type="spellStart"/>
      <w:r>
        <w:t>CoV</w:t>
      </w:r>
      <w:proofErr w:type="spellEnd"/>
      <w:r>
        <w:t xml:space="preserve"> </w:t>
      </w:r>
      <w:r w:rsidR="004658D1">
        <w:t>encore plus différentes</w:t>
      </w:r>
      <w:r>
        <w:t xml:space="preserve">. </w:t>
      </w:r>
      <w:r w:rsidR="004658D1">
        <w:t>En pratique, l</w:t>
      </w:r>
      <w:r w:rsidR="00EC7513">
        <w:t xml:space="preserve">es personnes </w:t>
      </w:r>
      <w:r>
        <w:t xml:space="preserve">immunocompétentes </w:t>
      </w:r>
      <w:r w:rsidR="00EC7513">
        <w:t xml:space="preserve">ayant un antécédent de Covid-19 </w:t>
      </w:r>
      <w:r w:rsidR="00EC7513" w:rsidRPr="002672E4">
        <w:t xml:space="preserve">symptomatique </w:t>
      </w:r>
      <w:r w:rsidR="004658D1" w:rsidRPr="002672E4">
        <w:t>devraient être vaccinées 6 mois</w:t>
      </w:r>
      <w:r w:rsidR="00EC7513" w:rsidRPr="002672E4">
        <w:t xml:space="preserve"> </w:t>
      </w:r>
      <w:r w:rsidR="002672E4" w:rsidRPr="002672E4">
        <w:t>après l’épisode de Covid-19</w:t>
      </w:r>
      <w:r w:rsidR="00B82CE7" w:rsidRPr="00B82CE7">
        <w:rPr>
          <w:vertAlign w:val="superscript"/>
        </w:rPr>
        <w:t>8</w:t>
      </w:r>
      <w:r w:rsidR="004658D1" w:rsidRPr="002672E4">
        <w:t>.</w:t>
      </w:r>
    </w:p>
    <w:p w:rsidR="00B82CE7" w:rsidRDefault="007C365F" w:rsidP="00B82CE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7C365F">
        <w:rPr>
          <w:sz w:val="20"/>
          <w:vertAlign w:val="superscript"/>
        </w:rPr>
        <w:t>5</w:t>
      </w:r>
      <w:r w:rsidR="00B82CE7">
        <w:rPr>
          <w:sz w:val="20"/>
        </w:rPr>
        <w:t xml:space="preserve">Lumley SF, et al. </w:t>
      </w:r>
      <w:hyperlink r:id="rId9" w:history="1">
        <w:r w:rsidR="00B82CE7" w:rsidRPr="00766E8A">
          <w:rPr>
            <w:rStyle w:val="Lienhypertexte"/>
            <w:sz w:val="20"/>
          </w:rPr>
          <w:t>https://www.nejm.org/doi/full/10.1056/NEJMoa2034545</w:t>
        </w:r>
      </w:hyperlink>
      <w:r w:rsidR="00B82CE7">
        <w:rPr>
          <w:sz w:val="20"/>
        </w:rPr>
        <w:t xml:space="preserve"> </w:t>
      </w:r>
    </w:p>
    <w:p w:rsidR="007C365F" w:rsidRPr="00E04823" w:rsidRDefault="00B82CE7" w:rsidP="00B82CE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04823">
        <w:rPr>
          <w:sz w:val="20"/>
          <w:vertAlign w:val="superscript"/>
        </w:rPr>
        <w:t>6</w:t>
      </w:r>
      <w:r w:rsidR="009A620E" w:rsidRPr="00E04823">
        <w:rPr>
          <w:sz w:val="20"/>
        </w:rPr>
        <w:t>Holm Hansen C</w:t>
      </w:r>
      <w:r w:rsidRPr="00E04823">
        <w:rPr>
          <w:sz w:val="20"/>
        </w:rPr>
        <w:t xml:space="preserve">, et al. </w:t>
      </w:r>
      <w:hyperlink r:id="rId10" w:history="1">
        <w:r w:rsidR="009A620E" w:rsidRPr="00E04823">
          <w:rPr>
            <w:rStyle w:val="Lienhypertexte"/>
            <w:sz w:val="20"/>
          </w:rPr>
          <w:t>https://www.thelancet.com/action/showPdf?pii=S0140-6736%2821%2900575-4</w:t>
        </w:r>
      </w:hyperlink>
      <w:r w:rsidR="009A620E" w:rsidRPr="00E04823">
        <w:rPr>
          <w:sz w:val="20"/>
        </w:rPr>
        <w:t xml:space="preserve"> </w:t>
      </w:r>
    </w:p>
    <w:p w:rsidR="002672E4" w:rsidRDefault="007C365F" w:rsidP="00B82CE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  <w:vertAlign w:val="superscript"/>
        </w:rPr>
        <w:t>7</w:t>
      </w:r>
      <w:r w:rsidR="002672E4" w:rsidRPr="002672E4">
        <w:rPr>
          <w:sz w:val="20"/>
        </w:rPr>
        <w:t xml:space="preserve">Stamatatos L, et al. </w:t>
      </w:r>
      <w:hyperlink r:id="rId11" w:history="1">
        <w:r w:rsidR="002672E4" w:rsidRPr="002672E4">
          <w:rPr>
            <w:rStyle w:val="Lienhypertexte"/>
            <w:sz w:val="20"/>
          </w:rPr>
          <w:t>https://www.medrxiv.org/content/10.1101/2021.02.05.21251182v1.full.pdf</w:t>
        </w:r>
      </w:hyperlink>
      <w:r w:rsidR="002672E4" w:rsidRPr="002672E4">
        <w:rPr>
          <w:sz w:val="20"/>
        </w:rPr>
        <w:t xml:space="preserve"> </w:t>
      </w:r>
    </w:p>
    <w:p w:rsidR="002D3D60" w:rsidRPr="00EC7513" w:rsidRDefault="00B82CE7" w:rsidP="00B82CE7">
      <w:pPr>
        <w:autoSpaceDE w:val="0"/>
        <w:autoSpaceDN w:val="0"/>
        <w:adjustRightInd w:val="0"/>
        <w:spacing w:after="0" w:line="240" w:lineRule="auto"/>
        <w:jc w:val="both"/>
      </w:pPr>
      <w:r w:rsidRPr="00B82CE7">
        <w:rPr>
          <w:sz w:val="20"/>
          <w:vertAlign w:val="superscript"/>
        </w:rPr>
        <w:t>8</w:t>
      </w:r>
      <w:r w:rsidRPr="00B82CE7">
        <w:rPr>
          <w:sz w:val="20"/>
        </w:rPr>
        <w:t>https://www.has-sante.fr/jcms/p_3237271/fr/strategie-de-vaccination-contre-le-sars-cov-2-vaccination-des-personnes-ayant-un-antecedent-de-covid-19</w:t>
      </w:r>
      <w:r>
        <w:rPr>
          <w:sz w:val="20"/>
        </w:rPr>
        <w:t xml:space="preserve">   </w:t>
      </w:r>
    </w:p>
    <w:sectPr w:rsidR="002D3D60" w:rsidRPr="00EC7513" w:rsidSect="00160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2"/>
    <w:rsid w:val="000E671D"/>
    <w:rsid w:val="00126E3F"/>
    <w:rsid w:val="001439EA"/>
    <w:rsid w:val="00160544"/>
    <w:rsid w:val="001A2BF0"/>
    <w:rsid w:val="002672E4"/>
    <w:rsid w:val="002D3D60"/>
    <w:rsid w:val="00345092"/>
    <w:rsid w:val="003F2923"/>
    <w:rsid w:val="00423127"/>
    <w:rsid w:val="004658D1"/>
    <w:rsid w:val="00481615"/>
    <w:rsid w:val="004F63E0"/>
    <w:rsid w:val="005272C3"/>
    <w:rsid w:val="00560445"/>
    <w:rsid w:val="005C45B1"/>
    <w:rsid w:val="00647EA2"/>
    <w:rsid w:val="00693B00"/>
    <w:rsid w:val="006D1122"/>
    <w:rsid w:val="007604C0"/>
    <w:rsid w:val="007C365F"/>
    <w:rsid w:val="008155FB"/>
    <w:rsid w:val="00822AE7"/>
    <w:rsid w:val="008274EC"/>
    <w:rsid w:val="009A4F72"/>
    <w:rsid w:val="009A5859"/>
    <w:rsid w:val="009A620E"/>
    <w:rsid w:val="00A758E9"/>
    <w:rsid w:val="00A90D2F"/>
    <w:rsid w:val="00A9531C"/>
    <w:rsid w:val="00B23A49"/>
    <w:rsid w:val="00B54EBF"/>
    <w:rsid w:val="00B82CE7"/>
    <w:rsid w:val="00CF39A1"/>
    <w:rsid w:val="00D338F8"/>
    <w:rsid w:val="00D46FA3"/>
    <w:rsid w:val="00DD288F"/>
    <w:rsid w:val="00E04823"/>
    <w:rsid w:val="00E30765"/>
    <w:rsid w:val="00EC7513"/>
    <w:rsid w:val="00F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D3D60"/>
    <w:pPr>
      <w:spacing w:before="300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D60"/>
    <w:rPr>
      <w:rFonts w:ascii="Times New Roman" w:eastAsia="Times New Roman" w:hAnsi="Times New Roman" w:cs="Times New Roman"/>
      <w:b/>
      <w:bCs/>
      <w:kern w:val="36"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2D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054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D3D60"/>
    <w:pPr>
      <w:spacing w:before="300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D60"/>
    <w:rPr>
      <w:rFonts w:ascii="Times New Roman" w:eastAsia="Times New Roman" w:hAnsi="Times New Roman" w:cs="Times New Roman"/>
      <w:b/>
      <w:bCs/>
      <w:kern w:val="36"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2D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054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xiv.org/content/10.1101/2021.03.01.21252652v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pers.ssrn.com/sol3/papers.cfm?abstract_id=37892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ejm.org/doi/pdf/10.1056/NEJMoa2101765?articleTools=true" TargetMode="External"/><Relationship Id="rId11" Type="http://schemas.openxmlformats.org/officeDocument/2006/relationships/hyperlink" Target="https://www.medrxiv.org/content/10.1101/2021.02.05.21251182v1.full.pdf" TargetMode="External"/><Relationship Id="rId5" Type="http://schemas.openxmlformats.org/officeDocument/2006/relationships/hyperlink" Target="https://www.fda.gov/media/146217/download" TargetMode="External"/><Relationship Id="rId10" Type="http://schemas.openxmlformats.org/officeDocument/2006/relationships/hyperlink" Target="https://www.thelancet.com/action/showPdf?pii=S0140-6736%2821%2900575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jm.org/doi/full/10.1056/NEJMoa20345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Nantes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Maeva</dc:creator>
  <cp:keywords/>
  <dc:description/>
  <cp:lastModifiedBy>LEFEBVRE Maeva</cp:lastModifiedBy>
  <cp:revision>11</cp:revision>
  <dcterms:created xsi:type="dcterms:W3CDTF">2021-03-15T16:18:00Z</dcterms:created>
  <dcterms:modified xsi:type="dcterms:W3CDTF">2021-03-18T18:34:00Z</dcterms:modified>
</cp:coreProperties>
</file>